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F79" w:rsidRPr="005C1F79" w:rsidRDefault="005C1F79" w:rsidP="005C1F79">
      <w:pPr>
        <w:pStyle w:val="a5"/>
        <w:rPr>
          <w:sz w:val="32"/>
          <w:szCs w:val="32"/>
        </w:rPr>
      </w:pPr>
      <w:bookmarkStart w:id="0" w:name="_GoBack"/>
      <w:bookmarkEnd w:id="0"/>
      <w:r>
        <w:rPr>
          <w:sz w:val="32"/>
          <w:szCs w:val="32"/>
        </w:rPr>
        <w:t xml:space="preserve">ΚΕΔΕ «ΦΟΡΟΛΟΓΙΚΗ ΑΠΟΚΕΝΤΡΩΣΗ ΚΑΙ ΧΡΗΜΑΤΟΔΟΤΗΣΗ ΤΗΣ ΤΟΠΙΚΗΣ ΑΥΤΟΔΙΟΙΚΗΣΗΣ ΣΤΗΝ ΕΛΛΑΔΑ» </w:t>
      </w:r>
    </w:p>
    <w:p w:rsidR="005C1F79" w:rsidRPr="00E35279" w:rsidRDefault="005C1F79" w:rsidP="005C1F79">
      <w:pPr>
        <w:pStyle w:val="a5"/>
        <w:rPr>
          <w:sz w:val="32"/>
          <w:szCs w:val="32"/>
        </w:rPr>
      </w:pPr>
      <w:r w:rsidRPr="00E35279">
        <w:rPr>
          <w:sz w:val="32"/>
          <w:szCs w:val="32"/>
        </w:rPr>
        <w:t>Σύνοψη</w:t>
      </w:r>
      <w:r>
        <w:rPr>
          <w:sz w:val="32"/>
          <w:szCs w:val="32"/>
        </w:rPr>
        <w:t xml:space="preserve"> μελέτης </w:t>
      </w:r>
      <w:r w:rsidRPr="00E35279">
        <w:rPr>
          <w:sz w:val="32"/>
          <w:szCs w:val="32"/>
        </w:rPr>
        <w:t xml:space="preserve"> </w:t>
      </w:r>
    </w:p>
    <w:p w:rsidR="005C1F79" w:rsidRPr="00F9135E" w:rsidRDefault="005C1F79" w:rsidP="005C1F79">
      <w:r w:rsidRPr="00F9135E">
        <w:t>Ένα κρίσιμης σημασίας ζήτημα για την οικονομική αυτοτέλεια της τοπικής αυτοδιοίκησης είναι η φορολογική εξουσία.  Το θέμα αυτό έχει απασχολήσει την διεθνή βιβλιογραφία ενώ η διεθνής πρακτική παρέχει ένα μεγάλο εύρος εμπειρικών παραδειγμάτων. Στην Ελλάδα η φορολογική εξουσία ανήκει αποκλειστικά στο Κράτος. Σήμερα η φορολογική αποκέντρωση αποτελεί μια μεγάλη πρόκληση. Ωστόσο, για την εφαρμογή της φορολογικής αποκέντρωσης χρειάζεται προσεκτική μελέτη</w:t>
      </w:r>
      <w:r>
        <w:t xml:space="preserve"> με βάση τη θεωρία, την διεθνή εμπειρία και τις ιδιαιτερότητες που έχει το φορολογικό σύστημα της χώρας μας</w:t>
      </w:r>
      <w:r w:rsidRPr="00F9135E">
        <w:t>.</w:t>
      </w:r>
    </w:p>
    <w:p w:rsidR="005C1F79" w:rsidRDefault="005C1F79" w:rsidP="005C1F79">
      <w:r w:rsidRPr="00F9135E">
        <w:t xml:space="preserve">Στο πλαίσιο αυτό η ΚΕΔΕ ανέθεσε στο Ινστιτούτο Τοπικής Αυτοδιοίκησης την </w:t>
      </w:r>
      <w:r>
        <w:t xml:space="preserve">εκπόνηση μελέτης που θα αφορά στην φορολογική αποκέντρωση. Η μελέτη αυτή έχει αξιοποιήσει διεθνείς βάσεις στατιστικών δεδομένων για την συγκριτική εξέταση της φορολογικής αποκέντρωσης σε διάφορες χώρες της ΕΕ και του ΟΟΣΑ. Επιπλέον, έχει μελετήσει τα διάφορα συστήματα φορολογικής αποκέντρωσης και  προσπαθεί να αντλήσει διδάγματα από καλές πρακτικές. Έργο της ομάδας μελέτης είναι επίσης να προχωρήσει σε εμπεριστατωμένη ανάλυση της κατανομής των φορολογικών εσόδων του κράτους κατά Δήμο με βάση τον ΕΝΦΙΑ. Η μελέτη αυτή επιχειρεί να συνδέσει την φορολογική αποκέντρωση με τη χρηματοδότηση αναπτυξιακών προγραμμάτων των ΟΤΑ Α’ βαθμού. Τέλος, παρουσιάζει έναν αλγόριθμο κατανομής των πόρων κατά Δήμο δίνοντας έμφαση στην </w:t>
      </w:r>
      <w:proofErr w:type="spellStart"/>
      <w:r>
        <w:t>νησιωτικότητα</w:t>
      </w:r>
      <w:proofErr w:type="spellEnd"/>
      <w:r>
        <w:t xml:space="preserve">, </w:t>
      </w:r>
      <w:proofErr w:type="spellStart"/>
      <w:r>
        <w:t>ορεινότητα</w:t>
      </w:r>
      <w:proofErr w:type="spellEnd"/>
      <w:r>
        <w:t xml:space="preserve"> και το εισόδημα.  </w:t>
      </w:r>
    </w:p>
    <w:p w:rsidR="005C1F79" w:rsidRDefault="005C1F79" w:rsidP="005C1F79">
      <w:r>
        <w:t xml:space="preserve">Η μελέτη αυτή παρέχει αναλύσεις και σημαντικά στοιχεία και αποτελεί μια βάση για την διεξαγωγή μιας εμπεριστατωμένης συζήτησης για την φορολογική αποκέντρωση στην Ελλάδα. Πέρα από τις στατιστικές αναλύσεις και τις καλές πρακτικές αναδεικνύει επίσης και τις Συνταγματικές και θεσμικές προϋποθέσεις για την αποτελεσματική εφαρμογή της δημοσιονομικής/φορολογικής αποκέντρωσης. Το ζήτημα αυτό λόγω της </w:t>
      </w:r>
      <w:proofErr w:type="spellStart"/>
      <w:r>
        <w:t>συνθετότητας</w:t>
      </w:r>
      <w:proofErr w:type="spellEnd"/>
      <w:r>
        <w:t xml:space="preserve"> και της κρισιμότητάς του θα πρέπει να αποτελέσει αυτοτελές θέμα συζήτησης στο πλαίσιο της ΚΕΔΕ ώστε να υπάρξει ο διάλογος που θα οδηγήσει σε ένα διεκδικητικό πλαίσιο προτάσεων πολιτικής για την τοπική αυτοδιοίκηση σε όφελος των πολιτών και της ανάπτυξης της χώρας. </w:t>
      </w:r>
      <w:r>
        <w:br w:type="page"/>
      </w:r>
    </w:p>
    <w:p w:rsidR="005C1F79" w:rsidRDefault="005C1F79" w:rsidP="005C1F79">
      <w:pPr>
        <w:spacing w:after="160"/>
        <w:jc w:val="left"/>
        <w:rPr>
          <w:b/>
          <w:color w:val="365F91" w:themeColor="accent1" w:themeShade="BF"/>
          <w:sz w:val="32"/>
          <w:szCs w:val="32"/>
        </w:rPr>
        <w:sectPr w:rsidR="005C1F79" w:rsidSect="005C1F79">
          <w:footerReference w:type="default" r:id="rId8"/>
          <w:pgSz w:w="11906" w:h="16838"/>
          <w:pgMar w:top="1440" w:right="1800" w:bottom="1276" w:left="1800" w:header="708" w:footer="708" w:gutter="0"/>
          <w:cols w:space="708"/>
          <w:docGrid w:linePitch="360"/>
        </w:sectPr>
      </w:pPr>
    </w:p>
    <w:p w:rsidR="005C1F79" w:rsidRDefault="005C1F79" w:rsidP="005C1F79">
      <w:pPr>
        <w:pStyle w:val="2"/>
        <w:ind w:left="680" w:hanging="680"/>
      </w:pPr>
      <w:r>
        <w:lastRenderedPageBreak/>
        <w:t xml:space="preserve">Συγκριτική εξέταση των φορολογικών εσόδων στις χώρες του ΟΟΣΑ </w:t>
      </w:r>
    </w:p>
    <w:p w:rsidR="005C1F79" w:rsidRPr="00E35279" w:rsidRDefault="005C1F79" w:rsidP="005C1F79">
      <w:r>
        <w:t xml:space="preserve">Στο </w:t>
      </w:r>
      <w:fldSimple w:instr=" REF _Ref469580708 \h  \* MERGEFORMAT ">
        <w:r w:rsidRPr="00577288">
          <w:rPr>
            <w:b/>
          </w:rPr>
          <w:t xml:space="preserve">Διάγραμμα </w:t>
        </w:r>
        <w:r w:rsidRPr="00577288">
          <w:rPr>
            <w:b/>
            <w:noProof/>
          </w:rPr>
          <w:t>I</w:t>
        </w:r>
        <w:r w:rsidRPr="00577288">
          <w:rPr>
            <w:b/>
          </w:rPr>
          <w:t>.1</w:t>
        </w:r>
      </w:fldSimple>
      <w:r w:rsidRPr="007630E6">
        <w:t xml:space="preserve"> </w:t>
      </w:r>
      <w:r>
        <w:t xml:space="preserve">αποτυπώνεται η διαχρονική εξέλιξη των φορολογικών εσόδων στις χώρες του ΟΟΣΑ κατά το διάστημα 2000-2014. </w:t>
      </w:r>
    </w:p>
    <w:p w:rsidR="005C1F79" w:rsidRDefault="005C1F79" w:rsidP="005C1F79">
      <w:pPr>
        <w:pStyle w:val="a6"/>
        <w:jc w:val="both"/>
      </w:pPr>
      <w:bookmarkStart w:id="1" w:name="_Ref469580708"/>
      <w:r>
        <w:t xml:space="preserve">Διάγραμμα </w:t>
      </w:r>
      <w:r w:rsidR="006C74DD">
        <w:fldChar w:fldCharType="begin"/>
      </w:r>
      <w:r w:rsidR="006D64A9">
        <w:instrText xml:space="preserve"> STYLEREF 1 \s </w:instrText>
      </w:r>
      <w:r w:rsidR="006C74DD">
        <w:fldChar w:fldCharType="separate"/>
      </w:r>
      <w:r>
        <w:rPr>
          <w:noProof/>
        </w:rPr>
        <w:t>I</w:t>
      </w:r>
      <w:r w:rsidR="006C74DD">
        <w:rPr>
          <w:noProof/>
        </w:rPr>
        <w:fldChar w:fldCharType="end"/>
      </w:r>
      <w:r>
        <w:t>.</w:t>
      </w:r>
      <w:r w:rsidR="006C74DD">
        <w:fldChar w:fldCharType="begin"/>
      </w:r>
      <w:r w:rsidR="006D64A9">
        <w:instrText xml:space="preserve"> SEQ Διάγραμμα \* ARABIC \s 1 </w:instrText>
      </w:r>
      <w:r w:rsidR="006C74DD">
        <w:fldChar w:fldCharType="separate"/>
      </w:r>
      <w:r>
        <w:rPr>
          <w:noProof/>
        </w:rPr>
        <w:t>1</w:t>
      </w:r>
      <w:r w:rsidR="006C74DD">
        <w:rPr>
          <w:noProof/>
        </w:rPr>
        <w:fldChar w:fldCharType="end"/>
      </w:r>
      <w:bookmarkEnd w:id="1"/>
      <w:r w:rsidRPr="007630E6">
        <w:t>:</w:t>
      </w:r>
      <w:r w:rsidRPr="007630E6">
        <w:rPr>
          <w:b w:val="0"/>
        </w:rPr>
        <w:t xml:space="preserve"> </w:t>
      </w:r>
      <w:r>
        <w:rPr>
          <w:b w:val="0"/>
        </w:rPr>
        <w:tab/>
      </w:r>
      <w:r w:rsidRPr="007630E6">
        <w:rPr>
          <w:b w:val="0"/>
        </w:rPr>
        <w:t>Συνολικοί φόροι ως ποσοστό του ΑΕΠ</w:t>
      </w:r>
    </w:p>
    <w:p w:rsidR="005C1F79" w:rsidRPr="00E35279" w:rsidRDefault="005C1F79" w:rsidP="005C1F79">
      <w:r>
        <w:rPr>
          <w:noProof/>
          <w:lang w:eastAsia="el-GR"/>
        </w:rPr>
        <w:drawing>
          <wp:inline distT="0" distB="0" distL="0" distR="0">
            <wp:extent cx="5270740" cy="3968151"/>
            <wp:effectExtent l="0" t="0" r="25400" b="13335"/>
            <wp:docPr id="48" name="Chart 48">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939CA89F-08B5-4508-9DD2-0A4FA483D8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C1F79" w:rsidRDefault="005C1F79" w:rsidP="005C1F79">
      <w:pPr>
        <w:pStyle w:val="Source"/>
      </w:pPr>
      <w:r w:rsidRPr="007630E6">
        <w:t xml:space="preserve">Πηγή: ΟΟΣΑ, βάση δεδομένων δημοσιονομικής αποκέντρωσης </w:t>
      </w:r>
    </w:p>
    <w:p w:rsidR="005C1F79" w:rsidRDefault="005C1F79" w:rsidP="005C1F79">
      <w:r>
        <w:t xml:space="preserve">Από το Διάγραμμα αυτό προκύπτει ότι η φορολογική επιβάρυνση στην Ελλάδα κινήθηκε σε επίπεδα κατώτερα αυτών του μέσου όρου του ΟΟΣΑ αλλά συγκρίσιμα με αυτά των χωρών συνοχής και κυρίως με αυτά της Ισπανίας και Πορτογαλίας. Ωστόσο, μετά την οικονομική κρίση και ειδικότερα μετά το 2010 η φορολογική επιβάρυνση στην Ελλάδα αυξήθηκε σημαντικά με αποτέλεσμα το έτος 2014 η φορολογική επιβάρυνση ως ποσοστό του ΑΕΠ να ξεπεράσει το μέσο ύψος των χωρών μελών του ΟΟΣΑ. Επιπλέον η φορολογική επιβάρυνση στην Ελλάδα είναι πλέον μεγαλύτερη από την φορολογική επιβάρυνση των χωρών συνοχής δηλαδή της Ιρλανδίας, Ισπανίας και Πορτογαλίας. Η εξέλιξη αυτή είναι το αποτέλεσμα της διπλής επενέργειας της αύξησης του αριθμητή, -αύξηση της φορολογίας- και μείωσης του παρανομαστή – μείωση του παραγόμενου προϊόντος (ΑΕΠ) κατά περίπου 27% κατά το διάστημα 2008-2014.      </w:t>
      </w:r>
    </w:p>
    <w:p w:rsidR="005C1F79" w:rsidRDefault="005C1F79" w:rsidP="005C1F79">
      <w:r>
        <w:t xml:space="preserve">Θα πρέπει επίσης να σημειωθεί ότι ορισμένες αναπτυγμένες κυρίως χώρες όπως Γαλλία, Ιταλία και Δανία έχουν φορολογική αρκετά μεγαλύτερη φορολογική </w:t>
      </w:r>
      <w:r>
        <w:lastRenderedPageBreak/>
        <w:t xml:space="preserve">επιβάρυνση ως προς το μέσο όρου του ΟΟΣΑ. </w:t>
      </w:r>
      <w:r w:rsidR="00B81938">
        <w:t xml:space="preserve">Ωστόσο, οι χώρες αυτές έχουν διαφορετικά συστήματα κοινωνικής πολιτικής. </w:t>
      </w:r>
      <w:r>
        <w:t xml:space="preserve"> </w:t>
      </w:r>
    </w:p>
    <w:p w:rsidR="00B81938" w:rsidRDefault="00B81938" w:rsidP="00B81938">
      <w:pPr>
        <w:spacing w:after="200" w:line="276" w:lineRule="auto"/>
      </w:pPr>
      <w:r>
        <w:t xml:space="preserve">Συγκεντρωτική εικόνα για τη συμμετοχή της τοπικής αυτοδιοίκησης στα δημόσια έσοδα και τις δαπάνες παρέχεται από το </w:t>
      </w:r>
      <w:fldSimple w:instr=" REF _Ref469581059 \h  \* MERGEFORMAT ">
        <w:r w:rsidRPr="00577288">
          <w:rPr>
            <w:b/>
          </w:rPr>
          <w:t xml:space="preserve">Διάγραμμα </w:t>
        </w:r>
        <w:r w:rsidRPr="00577288">
          <w:rPr>
            <w:b/>
            <w:noProof/>
          </w:rPr>
          <w:t>I</w:t>
        </w:r>
        <w:r w:rsidRPr="00577288">
          <w:rPr>
            <w:b/>
          </w:rPr>
          <w:t>.</w:t>
        </w:r>
        <w:r>
          <w:rPr>
            <w:b/>
          </w:rPr>
          <w:t>2</w:t>
        </w:r>
      </w:fldSimple>
      <w:r>
        <w:t xml:space="preserve"> όπου φαίνεται η πολύ μικρή συμμετοχή της τοπικής αυτοδιοίκησης τόσο στα φορολογικά έσοδα όσο και στις δαπάνες.   </w:t>
      </w:r>
    </w:p>
    <w:p w:rsidR="00B81938" w:rsidRDefault="00B81938" w:rsidP="00B81938">
      <w:r>
        <w:t xml:space="preserve">Τα δεδομένα αυτά τεκμηριώνουν την μεγάλη απόσταση που έχει η Ελλάδα ως προς την φορολογική αποκέντρωση και αποτελούν ένα πλαίσιο προβληματισμού για την κατεύθυνση της μεταρρύθμισης της φορολογικής αποκέντρωσης.  </w:t>
      </w:r>
    </w:p>
    <w:p w:rsidR="00B81938" w:rsidRDefault="00B81938" w:rsidP="00B81938">
      <w:pPr>
        <w:pStyle w:val="a6"/>
      </w:pPr>
      <w:bookmarkStart w:id="2" w:name="_Ref469581059"/>
      <w:r>
        <w:t xml:space="preserve">Διάγραμμα </w:t>
      </w:r>
      <w:r w:rsidR="006C74DD">
        <w:fldChar w:fldCharType="begin"/>
      </w:r>
      <w:r w:rsidR="006D64A9">
        <w:instrText xml:space="preserve"> STYLEREF 1 \s </w:instrText>
      </w:r>
      <w:r w:rsidR="006C74DD">
        <w:fldChar w:fldCharType="separate"/>
      </w:r>
      <w:r>
        <w:rPr>
          <w:noProof/>
        </w:rPr>
        <w:t>I</w:t>
      </w:r>
      <w:r w:rsidR="006C74DD">
        <w:rPr>
          <w:noProof/>
        </w:rPr>
        <w:fldChar w:fldCharType="end"/>
      </w:r>
      <w:r>
        <w:t>.2</w:t>
      </w:r>
      <w:bookmarkEnd w:id="2"/>
      <w:r w:rsidRPr="005137AD">
        <w:t>:</w:t>
      </w:r>
      <w:r w:rsidRPr="005137AD">
        <w:tab/>
      </w:r>
      <w:r w:rsidRPr="005137AD">
        <w:rPr>
          <w:b w:val="0"/>
        </w:rPr>
        <w:t>Η συμμετοχή της τοπικής αυτοδιοίκησης στις δημόσιες δαπάνες και φορολογικά έσοδα στις χώρες του ΟΟΣΑ</w:t>
      </w:r>
    </w:p>
    <w:p w:rsidR="00B81938" w:rsidRDefault="00B81938" w:rsidP="00B81938">
      <w:pPr>
        <w:spacing w:after="200" w:line="276" w:lineRule="auto"/>
        <w:jc w:val="left"/>
      </w:pPr>
      <w:r w:rsidRPr="00C00999">
        <w:rPr>
          <w:noProof/>
          <w:lang w:eastAsia="el-GR"/>
        </w:rPr>
        <w:drawing>
          <wp:inline distT="0" distB="0" distL="0" distR="0">
            <wp:extent cx="4892896" cy="4731488"/>
            <wp:effectExtent l="0" t="0" r="3175" b="12065"/>
            <wp:docPr id="46" name="Γράφημα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81938" w:rsidRDefault="00B81938" w:rsidP="00B81938"/>
    <w:p w:rsidR="008C432A" w:rsidRDefault="008C432A" w:rsidP="00B81938"/>
    <w:p w:rsidR="008C432A" w:rsidRDefault="008C432A" w:rsidP="00B81938"/>
    <w:p w:rsidR="008C432A" w:rsidRDefault="008C432A" w:rsidP="00B81938"/>
    <w:p w:rsidR="00443A32" w:rsidRPr="00642983" w:rsidRDefault="00443A32" w:rsidP="008C432A">
      <w:pPr>
        <w:pStyle w:val="2"/>
        <w:ind w:left="680" w:hanging="680"/>
      </w:pPr>
      <w:bookmarkStart w:id="3" w:name="_Toc466829995"/>
      <w:r w:rsidRPr="00642983">
        <w:lastRenderedPageBreak/>
        <w:t>Ο ρόλος των τοπικών δημοσίων επενδύσεων</w:t>
      </w:r>
      <w:bookmarkEnd w:id="3"/>
    </w:p>
    <w:p w:rsidR="00443A32" w:rsidRDefault="00443A32" w:rsidP="00443A32">
      <w:r w:rsidRPr="00642983">
        <w:t>Όπως πολύ σωστά τονίζεται</w:t>
      </w:r>
      <w:r>
        <w:t>,</w:t>
      </w:r>
      <w:r w:rsidRPr="00642983">
        <w:t xml:space="preserve"> οι δημόσιες επενδύσεις είναι απαραίτητες για τη μακροπρόθεσμη και αποτελεσματική μόχλευση ιδιωτικών επενδύσεων, ιδιαίτερα σε λιγότερο ελκυστικές περιοχές και τομείς. Στις δημόσιες επενδύσεις καθοριστικό ρόλο παίζουν οι επενδύσεις της Τοπικής Αυτοδιοίκησης, όπως προκύπτει και από το παρακάτω γράφημα. Η σπουδαιότητα και ο ρόλος των τοπικών δημόσιων επενδύσεων, στην ανάπτυξη και την απασχόληση δεν είναι δυνατόν να αγνοηθούν. </w:t>
      </w:r>
    </w:p>
    <w:p w:rsidR="00443A32" w:rsidRDefault="00443A32" w:rsidP="00443A32">
      <w:pPr>
        <w:pStyle w:val="a6"/>
      </w:pPr>
      <w:bookmarkStart w:id="4" w:name="_Toc466830038"/>
      <w:r w:rsidRPr="000F4F84">
        <w:t xml:space="preserve">Διάγραμμα </w:t>
      </w:r>
      <w:r w:rsidR="006C74DD">
        <w:fldChar w:fldCharType="begin"/>
      </w:r>
      <w:r w:rsidR="006D64A9">
        <w:instrText xml:space="preserve"> STYLEREF 1 \s </w:instrText>
      </w:r>
      <w:r w:rsidR="006C74DD">
        <w:fldChar w:fldCharType="separate"/>
      </w:r>
      <w:r>
        <w:rPr>
          <w:noProof/>
        </w:rPr>
        <w:t>II</w:t>
      </w:r>
      <w:r w:rsidR="006C74DD">
        <w:rPr>
          <w:noProof/>
        </w:rPr>
        <w:fldChar w:fldCharType="end"/>
      </w:r>
      <w:r>
        <w:t>.</w:t>
      </w:r>
      <w:r w:rsidR="006C74DD">
        <w:fldChar w:fldCharType="begin"/>
      </w:r>
      <w:r w:rsidR="006D64A9">
        <w:instrText xml:space="preserve"> SEQ Διάγραμμα \* ARABIC \s 1 </w:instrText>
      </w:r>
      <w:r w:rsidR="006C74DD">
        <w:fldChar w:fldCharType="separate"/>
      </w:r>
      <w:r>
        <w:rPr>
          <w:noProof/>
        </w:rPr>
        <w:t>1</w:t>
      </w:r>
      <w:r w:rsidR="006C74DD">
        <w:rPr>
          <w:noProof/>
        </w:rPr>
        <w:fldChar w:fldCharType="end"/>
      </w:r>
      <w:r>
        <w:t>:</w:t>
      </w:r>
      <w:r>
        <w:tab/>
      </w:r>
      <w:r w:rsidRPr="00577C5B">
        <w:rPr>
          <w:b w:val="0"/>
        </w:rPr>
        <w:t>Η διάρθρωση των δημοσίων επενδύσεων στα κράτη- μέλη του ΟΟΣΑ</w:t>
      </w:r>
      <w:bookmarkEnd w:id="4"/>
    </w:p>
    <w:p w:rsidR="00443A32" w:rsidRPr="00642983" w:rsidRDefault="00443A32" w:rsidP="00443A32">
      <w:r w:rsidRPr="00642983">
        <w:rPr>
          <w:noProof/>
          <w:lang w:eastAsia="el-GR"/>
        </w:rPr>
        <w:drawing>
          <wp:inline distT="0" distB="0" distL="0" distR="0">
            <wp:extent cx="5379461" cy="1888177"/>
            <wp:effectExtent l="0" t="0" r="0" b="0"/>
            <wp:docPr id="2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334" b="8333"/>
                    <a:stretch/>
                  </pic:blipFill>
                  <pic:spPr bwMode="auto">
                    <a:xfrm>
                      <a:off x="0" y="0"/>
                      <a:ext cx="5379085" cy="188804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43A32" w:rsidRPr="00642983" w:rsidRDefault="00443A32" w:rsidP="00443A32">
      <w:pPr>
        <w:pStyle w:val="Source"/>
      </w:pPr>
      <w:r>
        <w:t>Πηγή: ΟΟΣΑ, Στατιστικές Εθνικών Λογαριασμών (βάση δεδομένων)</w:t>
      </w:r>
    </w:p>
    <w:p w:rsidR="00443A32" w:rsidRPr="00642983" w:rsidRDefault="00443A32" w:rsidP="00443A32">
      <w:r w:rsidRPr="00642983">
        <w:t xml:space="preserve">Οι τοπικές δημόσιες επενδύσεις έχουν ένα επιπλέον πλεονέκτημα </w:t>
      </w:r>
      <w:r>
        <w:t xml:space="preserve">καθώς </w:t>
      </w:r>
      <w:r w:rsidRPr="00642983">
        <w:t xml:space="preserve">είναι, λόγω του μεγέθους τους, </w:t>
      </w:r>
      <w:r w:rsidRPr="00642983">
        <w:rPr>
          <w:b/>
        </w:rPr>
        <w:t>ευέλικτες</w:t>
      </w:r>
      <w:r w:rsidRPr="00642983">
        <w:t>, παρουσιάζουν</w:t>
      </w:r>
      <w:r w:rsidRPr="00642983">
        <w:rPr>
          <w:b/>
        </w:rPr>
        <w:t xml:space="preserve"> μεγάλο βαθμό απορροφητικότητας</w:t>
      </w:r>
      <w:r w:rsidRPr="00642983">
        <w:t xml:space="preserve">, έχουν άμεσα αποτελέσματα στην </w:t>
      </w:r>
      <w:r w:rsidRPr="00642983">
        <w:rPr>
          <w:b/>
        </w:rPr>
        <w:t>αύξηση της απασχόλησης</w:t>
      </w:r>
      <w:r w:rsidRPr="00642983">
        <w:t xml:space="preserve"> και συμβάλλουν στην </w:t>
      </w:r>
      <w:r w:rsidRPr="00642983">
        <w:rPr>
          <w:b/>
        </w:rPr>
        <w:t>άμβλυνση των περιφερειακών ανισοτήτων</w:t>
      </w:r>
      <w:r w:rsidRPr="00642983">
        <w:t xml:space="preserve">. </w:t>
      </w:r>
    </w:p>
    <w:p w:rsidR="00443A32" w:rsidRPr="00642983" w:rsidRDefault="00443A32" w:rsidP="00443A32">
      <w:r w:rsidRPr="00642983">
        <w:t>Αντίθετα, η πίεση και η μη υποστήριξη στις δημόσιες τοπικές επενδύσεις σημαίνει μείωση των επενδύσεων, δημόσιων και ιδιωτικών, σε μακροπρόθεσμη βάση, η οποία μπορεί να έχει καταστροφικές συνέπειες στη βιώσιμη ανάπτυξη. Οι κεφαλαιουχικές δαπάνες σε υποδομές και υπηρεσίες (π.χ. για τις δημόσιες μεταφορές, την ενέργεια, την προσαρμογή στην κλιματική αλλαγή, την κοινωνική και υγειονομική περίθαλψη, τη στέγαση, τη διαχείριση των αποβλήτων, κλπ), έχουν θετικό αντίκτυπο στην οικονομική ανάπτυξη και την κοινωνική συνοχή. Αυτό όχι μόνο αυξάνει την παραγωγικότητα και την απασχόληση, μακροπρόθεσμα, αλλά παράλληλα, ενισχύει την ελκυστικότητα της περιοχής σε επιχειρήσεις και νοικοκυριά, την εμπιστοσύνη στο γενικότερο οικονομικό και επενδυτικό κλίμα και συμβάλει σε μια κοινωνία χωρίς αποκλεισμούς και χωρικές ασυνέχειες.</w:t>
      </w:r>
    </w:p>
    <w:p w:rsidR="00443A32" w:rsidRPr="00642983" w:rsidRDefault="00443A32" w:rsidP="00443A32">
      <w:pPr>
        <w:pStyle w:val="3"/>
      </w:pPr>
      <w:bookmarkStart w:id="5" w:name="_Toc466829998"/>
      <w:r>
        <w:t>Πρωτοβουλίες από το Ευρωπαϊκό Συμβούλιο Δήμων και Περιφερειών</w:t>
      </w:r>
      <w:bookmarkEnd w:id="5"/>
      <w:r w:rsidRPr="00642983">
        <w:t xml:space="preserve"> </w:t>
      </w:r>
    </w:p>
    <w:p w:rsidR="00443A32" w:rsidRPr="00642983" w:rsidRDefault="00443A32" w:rsidP="00443A32">
      <w:r w:rsidRPr="00642983">
        <w:rPr>
          <w:rStyle w:val="hps"/>
          <w:rFonts w:ascii="Calibri" w:hAnsi="Calibri" w:cs="Arial"/>
          <w:color w:val="222222"/>
        </w:rPr>
        <w:t>Το CEMR</w:t>
      </w:r>
      <w:r w:rsidRPr="00642983">
        <w:t xml:space="preserve"> </w:t>
      </w:r>
      <w:r>
        <w:t xml:space="preserve">(Ευρωπαϊκό Συμβούλιο Δήμων και Περιφερειών) </w:t>
      </w:r>
      <w:r w:rsidRPr="00642983">
        <w:rPr>
          <w:rStyle w:val="hps"/>
          <w:rFonts w:ascii="Calibri" w:hAnsi="Calibri" w:cs="Arial"/>
          <w:color w:val="222222"/>
        </w:rPr>
        <w:t>απαιτεί τα</w:t>
      </w:r>
      <w:r w:rsidRPr="00642983">
        <w:t xml:space="preserve"> </w:t>
      </w:r>
      <w:r w:rsidRPr="00642983">
        <w:rPr>
          <w:rStyle w:val="hps"/>
          <w:rFonts w:ascii="Calibri" w:hAnsi="Calibri" w:cs="Arial"/>
          <w:color w:val="222222"/>
        </w:rPr>
        <w:t>θεσμικά όργανα της ΕΕ</w:t>
      </w:r>
      <w:r w:rsidRPr="00642983">
        <w:t xml:space="preserve"> </w:t>
      </w:r>
      <w:r w:rsidRPr="00642983">
        <w:rPr>
          <w:rStyle w:val="hps"/>
          <w:rFonts w:ascii="Calibri" w:hAnsi="Calibri" w:cs="Arial"/>
          <w:color w:val="222222"/>
        </w:rPr>
        <w:t>να αναγνωρίσουν πλήρως</w:t>
      </w:r>
      <w:r w:rsidRPr="00642983">
        <w:t xml:space="preserve"> </w:t>
      </w:r>
      <w:r w:rsidRPr="00642983">
        <w:rPr>
          <w:rStyle w:val="hps"/>
          <w:rFonts w:ascii="Calibri" w:hAnsi="Calibri" w:cs="Arial"/>
          <w:color w:val="222222"/>
        </w:rPr>
        <w:t>το πρόβλημα</w:t>
      </w:r>
      <w:r w:rsidRPr="00642983">
        <w:t xml:space="preserve"> που προκύπτει από τον ανελαστικό κ</w:t>
      </w:r>
      <w:r w:rsidRPr="00642983">
        <w:rPr>
          <w:rStyle w:val="hps"/>
          <w:rFonts w:ascii="Calibri" w:hAnsi="Calibri" w:cs="Arial"/>
          <w:color w:val="222222"/>
        </w:rPr>
        <w:t>αθορισμό του ελλείμματος</w:t>
      </w:r>
      <w:r w:rsidRPr="00642983">
        <w:t xml:space="preserve"> και του χρέους, σύμφωνα με το Σύμφωνο Σταθερότητας και Ανάπτυξης. Οι διατάξεις αυτές </w:t>
      </w:r>
      <w:r w:rsidRPr="00642983">
        <w:rPr>
          <w:rStyle w:val="hps"/>
          <w:rFonts w:ascii="Calibri" w:hAnsi="Calibri" w:cs="Arial"/>
          <w:color w:val="222222"/>
        </w:rPr>
        <w:t>απειλούν</w:t>
      </w:r>
      <w:r w:rsidRPr="00642983">
        <w:t xml:space="preserve"> </w:t>
      </w:r>
      <w:r w:rsidRPr="00642983">
        <w:rPr>
          <w:rStyle w:val="hps"/>
          <w:rFonts w:ascii="Calibri" w:hAnsi="Calibri" w:cs="Arial"/>
          <w:color w:val="222222"/>
        </w:rPr>
        <w:t>σοβαρά</w:t>
      </w:r>
      <w:r w:rsidRPr="00642983">
        <w:t xml:space="preserve"> </w:t>
      </w:r>
      <w:r w:rsidRPr="00642983">
        <w:rPr>
          <w:rStyle w:val="hps"/>
          <w:rFonts w:ascii="Calibri" w:hAnsi="Calibri" w:cs="Arial"/>
          <w:color w:val="222222"/>
        </w:rPr>
        <w:t>τις τοπικές και περιφερειακές αρχές,</w:t>
      </w:r>
      <w:r w:rsidRPr="00642983">
        <w:t xml:space="preserve"> οι οποίες </w:t>
      </w:r>
      <w:r w:rsidRPr="00642983">
        <w:rPr>
          <w:rStyle w:val="hps"/>
          <w:rFonts w:ascii="Calibri" w:hAnsi="Calibri" w:cs="Arial"/>
          <w:color w:val="222222"/>
        </w:rPr>
        <w:t>επενδύουν</w:t>
      </w:r>
      <w:r w:rsidRPr="00642983">
        <w:t xml:space="preserve"> </w:t>
      </w:r>
      <w:r w:rsidRPr="00642983">
        <w:rPr>
          <w:rStyle w:val="hps"/>
          <w:rFonts w:ascii="Calibri" w:hAnsi="Calibri" w:cs="Arial"/>
          <w:color w:val="222222"/>
        </w:rPr>
        <w:t>στο μέλλον,</w:t>
      </w:r>
      <w:r w:rsidRPr="00642983">
        <w:t xml:space="preserve"> </w:t>
      </w:r>
      <w:r w:rsidRPr="00642983">
        <w:rPr>
          <w:rStyle w:val="hps"/>
          <w:rFonts w:ascii="Calibri" w:hAnsi="Calibri" w:cs="Arial"/>
          <w:color w:val="222222"/>
        </w:rPr>
        <w:t>προσανατολισμένες σε</w:t>
      </w:r>
      <w:r w:rsidRPr="00642983">
        <w:t xml:space="preserve"> </w:t>
      </w:r>
      <w:r w:rsidRPr="00642983">
        <w:rPr>
          <w:rStyle w:val="hps"/>
          <w:rFonts w:ascii="Calibri" w:hAnsi="Calibri" w:cs="Arial"/>
          <w:color w:val="222222"/>
        </w:rPr>
        <w:lastRenderedPageBreak/>
        <w:t>μέτρα προκειμένου</w:t>
      </w:r>
      <w:r w:rsidRPr="00642983">
        <w:t xml:space="preserve"> </w:t>
      </w:r>
      <w:r w:rsidRPr="00642983">
        <w:rPr>
          <w:rStyle w:val="hps"/>
          <w:rFonts w:ascii="Calibri" w:hAnsi="Calibri" w:cs="Arial"/>
          <w:color w:val="222222"/>
        </w:rPr>
        <w:t>να αποφευχθούν προβλήματα</w:t>
      </w:r>
      <w:r w:rsidRPr="00642983">
        <w:t xml:space="preserve"> </w:t>
      </w:r>
      <w:r w:rsidRPr="00642983">
        <w:rPr>
          <w:rStyle w:val="hps"/>
          <w:rFonts w:ascii="Calibri" w:hAnsi="Calibri" w:cs="Arial"/>
          <w:color w:val="222222"/>
        </w:rPr>
        <w:t>και</w:t>
      </w:r>
      <w:r w:rsidRPr="00642983">
        <w:t xml:space="preserve"> </w:t>
      </w:r>
      <w:r w:rsidRPr="00642983">
        <w:rPr>
          <w:rStyle w:val="hps"/>
          <w:rFonts w:ascii="Calibri" w:hAnsi="Calibri" w:cs="Arial"/>
          <w:color w:val="222222"/>
        </w:rPr>
        <w:t>υψηλότερο κόστος,</w:t>
      </w:r>
      <w:r w:rsidRPr="00642983">
        <w:t xml:space="preserve"> </w:t>
      </w:r>
      <w:r w:rsidRPr="00642983">
        <w:rPr>
          <w:rStyle w:val="hps"/>
          <w:rFonts w:ascii="Calibri" w:hAnsi="Calibri" w:cs="Arial"/>
          <w:color w:val="222222"/>
        </w:rPr>
        <w:t>σε μεταγενέστερο στάδιο</w:t>
      </w:r>
      <w:r w:rsidRPr="00642983">
        <w:t>.</w:t>
      </w:r>
    </w:p>
    <w:p w:rsidR="00443A32" w:rsidRPr="00642983" w:rsidRDefault="00443A32" w:rsidP="00443A32">
      <w:r w:rsidRPr="00642983">
        <w:rPr>
          <w:rStyle w:val="hps"/>
          <w:rFonts w:ascii="Calibri" w:hAnsi="Calibri" w:cs="Arial"/>
          <w:color w:val="222222"/>
        </w:rPr>
        <w:t>Το CEMR</w:t>
      </w:r>
      <w:r w:rsidRPr="00642983">
        <w:t xml:space="preserve"> απευθύνει </w:t>
      </w:r>
      <w:r w:rsidRPr="00642983">
        <w:rPr>
          <w:rStyle w:val="hps"/>
          <w:rFonts w:ascii="Calibri" w:hAnsi="Calibri" w:cs="Arial"/>
          <w:color w:val="222222"/>
        </w:rPr>
        <w:t>έκκληση</w:t>
      </w:r>
      <w:r w:rsidRPr="00642983">
        <w:t xml:space="preserve"> </w:t>
      </w:r>
      <w:r w:rsidRPr="00642983">
        <w:rPr>
          <w:rStyle w:val="hps"/>
          <w:rFonts w:ascii="Calibri" w:hAnsi="Calibri" w:cs="Arial"/>
          <w:color w:val="222222"/>
        </w:rPr>
        <w:t>για</w:t>
      </w:r>
      <w:r w:rsidRPr="00642983">
        <w:t xml:space="preserve"> </w:t>
      </w:r>
      <w:r w:rsidRPr="00642983">
        <w:rPr>
          <w:rStyle w:val="hps"/>
          <w:rFonts w:ascii="Calibri" w:hAnsi="Calibri" w:cs="Arial"/>
          <w:color w:val="222222"/>
        </w:rPr>
        <w:t>να εισαχθεί</w:t>
      </w:r>
      <w:r w:rsidRPr="00642983">
        <w:t xml:space="preserve"> </w:t>
      </w:r>
      <w:r w:rsidRPr="00642983">
        <w:rPr>
          <w:rStyle w:val="hps"/>
          <w:rFonts w:ascii="Calibri" w:hAnsi="Calibri" w:cs="Arial"/>
          <w:color w:val="222222"/>
        </w:rPr>
        <w:t>ο</w:t>
      </w:r>
      <w:r w:rsidRPr="00642983">
        <w:t xml:space="preserve"> </w:t>
      </w:r>
      <w:r w:rsidRPr="00C422AC">
        <w:rPr>
          <w:rStyle w:val="hps"/>
          <w:rFonts w:ascii="Calibri" w:hAnsi="Calibri" w:cs="Arial"/>
          <w:b/>
          <w:color w:val="222222"/>
        </w:rPr>
        <w:t>«</w:t>
      </w:r>
      <w:r w:rsidRPr="00C422AC">
        <w:rPr>
          <w:b/>
        </w:rPr>
        <w:t xml:space="preserve">χρυσός </w:t>
      </w:r>
      <w:r w:rsidRPr="00C422AC">
        <w:rPr>
          <w:rStyle w:val="hps"/>
          <w:rFonts w:ascii="Calibri" w:hAnsi="Calibri" w:cs="Arial"/>
          <w:b/>
          <w:color w:val="222222"/>
        </w:rPr>
        <w:t>δημοσιονομικός κανόνας</w:t>
      </w:r>
      <w:r w:rsidRPr="00C422AC">
        <w:rPr>
          <w:b/>
        </w:rPr>
        <w:t xml:space="preserve">» </w:t>
      </w:r>
      <w:r w:rsidRPr="00642983">
        <w:rPr>
          <w:rStyle w:val="hps"/>
          <w:rFonts w:ascii="Calibri" w:hAnsi="Calibri" w:cs="Arial"/>
          <w:color w:val="222222"/>
        </w:rPr>
        <w:t>στο</w:t>
      </w:r>
      <w:r>
        <w:rPr>
          <w:rStyle w:val="hps"/>
          <w:rFonts w:ascii="Calibri" w:hAnsi="Calibri" w:cs="Arial"/>
          <w:color w:val="222222"/>
        </w:rPr>
        <w:t xml:space="preserve"> </w:t>
      </w:r>
      <w:r w:rsidRPr="00642983">
        <w:t xml:space="preserve">Σύμφωνο Σταθερότητας και Ανάπτυξης, </w:t>
      </w:r>
      <w:r w:rsidRPr="00642983">
        <w:rPr>
          <w:rStyle w:val="hps"/>
          <w:rFonts w:ascii="Calibri" w:hAnsi="Calibri" w:cs="Arial"/>
          <w:color w:val="222222"/>
        </w:rPr>
        <w:t>σύμφωνα με τον οποίο οι μακροπρόθεσμες</w:t>
      </w:r>
      <w:r w:rsidRPr="00642983">
        <w:t xml:space="preserve"> </w:t>
      </w:r>
      <w:r w:rsidRPr="00642983">
        <w:rPr>
          <w:rStyle w:val="hps"/>
          <w:rFonts w:ascii="Calibri" w:hAnsi="Calibri" w:cs="Arial"/>
          <w:color w:val="222222"/>
        </w:rPr>
        <w:t>δημόσιες επενδύσεις</w:t>
      </w:r>
      <w:r w:rsidRPr="00642983">
        <w:t xml:space="preserve">, </w:t>
      </w:r>
      <w:r w:rsidRPr="00642983">
        <w:rPr>
          <w:rStyle w:val="hps"/>
          <w:rFonts w:ascii="Calibri" w:hAnsi="Calibri" w:cs="Arial"/>
          <w:color w:val="222222"/>
        </w:rPr>
        <w:t>που ευνοούν</w:t>
      </w:r>
      <w:r w:rsidRPr="00642983">
        <w:t xml:space="preserve"> </w:t>
      </w:r>
      <w:r w:rsidRPr="00642983">
        <w:rPr>
          <w:rStyle w:val="hps"/>
          <w:rFonts w:ascii="Calibri" w:hAnsi="Calibri" w:cs="Arial"/>
          <w:color w:val="222222"/>
        </w:rPr>
        <w:t>την ανάπτυξη,</w:t>
      </w:r>
      <w:r w:rsidRPr="00642983">
        <w:t xml:space="preserve"> </w:t>
      </w:r>
      <w:r w:rsidRPr="00642983">
        <w:rPr>
          <w:rStyle w:val="hps"/>
          <w:rFonts w:ascii="Calibri" w:hAnsi="Calibri" w:cs="Arial"/>
          <w:color w:val="222222"/>
        </w:rPr>
        <w:t>παραμένουν</w:t>
      </w:r>
      <w:r w:rsidRPr="00642983">
        <w:t xml:space="preserve"> </w:t>
      </w:r>
      <w:r w:rsidRPr="00642983">
        <w:rPr>
          <w:rStyle w:val="hps"/>
          <w:rFonts w:ascii="Calibri" w:hAnsi="Calibri" w:cs="Arial"/>
          <w:color w:val="222222"/>
        </w:rPr>
        <w:t>χωριστά από τις τρέχουσες δαπάνες</w:t>
      </w:r>
      <w:r w:rsidRPr="00642983">
        <w:t xml:space="preserve">. </w:t>
      </w:r>
      <w:r w:rsidRPr="00642983">
        <w:rPr>
          <w:rStyle w:val="hps"/>
          <w:rFonts w:ascii="Calibri" w:hAnsi="Calibri" w:cs="Arial"/>
          <w:color w:val="222222"/>
        </w:rPr>
        <w:t>Επενδύσεις που</w:t>
      </w:r>
      <w:r w:rsidRPr="00642983">
        <w:t xml:space="preserve"> </w:t>
      </w:r>
      <w:r w:rsidRPr="00642983">
        <w:rPr>
          <w:rStyle w:val="hps"/>
          <w:rFonts w:ascii="Calibri" w:hAnsi="Calibri" w:cs="Arial"/>
          <w:color w:val="222222"/>
        </w:rPr>
        <w:t>είναι</w:t>
      </w:r>
      <w:r w:rsidRPr="00642983">
        <w:t xml:space="preserve"> </w:t>
      </w:r>
      <w:r w:rsidRPr="00642983">
        <w:rPr>
          <w:rStyle w:val="hps"/>
          <w:rFonts w:ascii="Calibri" w:hAnsi="Calibri" w:cs="Arial"/>
          <w:color w:val="222222"/>
        </w:rPr>
        <w:t>προς όφελος</w:t>
      </w:r>
      <w:r w:rsidRPr="00642983">
        <w:t xml:space="preserve"> </w:t>
      </w:r>
      <w:r w:rsidRPr="00642983">
        <w:rPr>
          <w:rStyle w:val="hps"/>
          <w:rFonts w:ascii="Calibri" w:hAnsi="Calibri" w:cs="Arial"/>
          <w:color w:val="222222"/>
        </w:rPr>
        <w:t>των μελλοντικών γενεών</w:t>
      </w:r>
      <w:r w:rsidRPr="00642983">
        <w:t xml:space="preserve"> </w:t>
      </w:r>
      <w:r w:rsidRPr="00642983">
        <w:rPr>
          <w:rStyle w:val="hps"/>
          <w:rFonts w:ascii="Calibri" w:hAnsi="Calibri" w:cs="Arial"/>
          <w:color w:val="222222"/>
        </w:rPr>
        <w:t>μπορούν να χρηματοδοτηθούν με δανεισμό</w:t>
      </w:r>
      <w:r w:rsidRPr="00642983">
        <w:t xml:space="preserve">, </w:t>
      </w:r>
      <w:r w:rsidRPr="00642983">
        <w:rPr>
          <w:rStyle w:val="hps"/>
          <w:rFonts w:ascii="Calibri" w:hAnsi="Calibri" w:cs="Arial"/>
          <w:color w:val="222222"/>
        </w:rPr>
        <w:t>σε αντίθεση με</w:t>
      </w:r>
      <w:r w:rsidRPr="00642983">
        <w:t xml:space="preserve"> </w:t>
      </w:r>
      <w:r w:rsidRPr="00642983">
        <w:rPr>
          <w:rStyle w:val="hps"/>
          <w:rFonts w:ascii="Calibri" w:hAnsi="Calibri" w:cs="Arial"/>
          <w:color w:val="222222"/>
        </w:rPr>
        <w:t>τις καταναλωτικές δαπάνες</w:t>
      </w:r>
      <w:r w:rsidRPr="00642983">
        <w:t>.</w:t>
      </w:r>
    </w:p>
    <w:p w:rsidR="00443A32" w:rsidRPr="00642983" w:rsidRDefault="00443A32" w:rsidP="00443A32">
      <w:r w:rsidRPr="00642983">
        <w:rPr>
          <w:rStyle w:val="hps"/>
          <w:rFonts w:ascii="Calibri" w:hAnsi="Calibri" w:cs="Arial"/>
          <w:color w:val="222222"/>
        </w:rPr>
        <w:t>Οι δημόσιες επενδύσεις</w:t>
      </w:r>
      <w:r w:rsidRPr="00642983">
        <w:t xml:space="preserve"> </w:t>
      </w:r>
      <w:r w:rsidRPr="00642983">
        <w:rPr>
          <w:rStyle w:val="hps"/>
          <w:rFonts w:ascii="Calibri" w:hAnsi="Calibri" w:cs="Arial"/>
          <w:color w:val="222222"/>
        </w:rPr>
        <w:t>δεν μπορούν να αντιμετωπίζονται</w:t>
      </w:r>
      <w:r w:rsidRPr="00642983">
        <w:t xml:space="preserve"> </w:t>
      </w:r>
      <w:r w:rsidRPr="00642983">
        <w:rPr>
          <w:rStyle w:val="hps"/>
          <w:rFonts w:ascii="Calibri" w:hAnsi="Calibri" w:cs="Arial"/>
          <w:color w:val="222222"/>
        </w:rPr>
        <w:t>ως μεταβλητή</w:t>
      </w:r>
      <w:r w:rsidRPr="00642983">
        <w:t xml:space="preserve"> </w:t>
      </w:r>
      <w:r w:rsidRPr="00642983">
        <w:rPr>
          <w:rStyle w:val="hps"/>
          <w:rFonts w:ascii="Calibri" w:hAnsi="Calibri" w:cs="Arial"/>
          <w:color w:val="222222"/>
        </w:rPr>
        <w:t>προσαρμογής</w:t>
      </w:r>
      <w:r w:rsidRPr="00642983">
        <w:t xml:space="preserve"> </w:t>
      </w:r>
      <w:r w:rsidRPr="00642983">
        <w:rPr>
          <w:rStyle w:val="hps"/>
          <w:rFonts w:ascii="Calibri" w:hAnsi="Calibri" w:cs="Arial"/>
          <w:color w:val="222222"/>
        </w:rPr>
        <w:t>της δημοσιονομικής πολιτικής</w:t>
      </w:r>
      <w:r w:rsidRPr="00642983">
        <w:t xml:space="preserve">. </w:t>
      </w:r>
      <w:r w:rsidRPr="00642983">
        <w:rPr>
          <w:rStyle w:val="hps"/>
          <w:rFonts w:ascii="Calibri" w:hAnsi="Calibri" w:cs="Arial"/>
          <w:color w:val="222222"/>
        </w:rPr>
        <w:t>Η πτώση των τοπικών επενδύσεων</w:t>
      </w:r>
      <w:r w:rsidRPr="00642983">
        <w:t xml:space="preserve"> </w:t>
      </w:r>
      <w:r w:rsidRPr="00642983">
        <w:rPr>
          <w:rStyle w:val="hps"/>
          <w:rFonts w:ascii="Calibri" w:hAnsi="Calibri" w:cs="Arial"/>
          <w:color w:val="222222"/>
        </w:rPr>
        <w:t>είναι</w:t>
      </w:r>
      <w:r w:rsidRPr="00642983">
        <w:t xml:space="preserve"> </w:t>
      </w:r>
      <w:r w:rsidRPr="00642983">
        <w:rPr>
          <w:rStyle w:val="hps"/>
          <w:rFonts w:ascii="Calibri" w:hAnsi="Calibri" w:cs="Arial"/>
          <w:color w:val="222222"/>
        </w:rPr>
        <w:t>σημαντικό κοινωνικοοικονομικό</w:t>
      </w:r>
      <w:r w:rsidRPr="00642983">
        <w:t xml:space="preserve"> </w:t>
      </w:r>
      <w:r w:rsidRPr="00642983">
        <w:rPr>
          <w:rStyle w:val="hps"/>
          <w:rFonts w:ascii="Calibri" w:hAnsi="Calibri" w:cs="Arial"/>
          <w:color w:val="222222"/>
        </w:rPr>
        <w:t>λάθος</w:t>
      </w:r>
      <w:r w:rsidRPr="00642983">
        <w:t xml:space="preserve"> </w:t>
      </w:r>
      <w:r w:rsidRPr="00642983">
        <w:rPr>
          <w:rStyle w:val="hps"/>
          <w:rFonts w:ascii="Calibri" w:hAnsi="Calibri" w:cs="Arial"/>
          <w:color w:val="222222"/>
        </w:rPr>
        <w:t>για την Ευρώπη</w:t>
      </w:r>
      <w:r w:rsidRPr="00642983">
        <w:t xml:space="preserve">. </w:t>
      </w:r>
      <w:r w:rsidRPr="00642983">
        <w:rPr>
          <w:rStyle w:val="hps"/>
          <w:rFonts w:ascii="Calibri" w:hAnsi="Calibri" w:cs="Arial"/>
          <w:color w:val="222222"/>
        </w:rPr>
        <w:t>Ειδικά σε</w:t>
      </w:r>
      <w:r w:rsidRPr="00642983">
        <w:t xml:space="preserve"> </w:t>
      </w:r>
      <w:r w:rsidRPr="00642983">
        <w:rPr>
          <w:rStyle w:val="hps"/>
          <w:rFonts w:ascii="Calibri" w:hAnsi="Calibri" w:cs="Arial"/>
          <w:color w:val="222222"/>
        </w:rPr>
        <w:t>περιόδους οικονομικής ύφεσης</w:t>
      </w:r>
      <w:r w:rsidRPr="00642983">
        <w:t xml:space="preserve">, θα </w:t>
      </w:r>
      <w:r w:rsidRPr="00642983">
        <w:rPr>
          <w:rStyle w:val="hps"/>
          <w:rFonts w:ascii="Calibri" w:hAnsi="Calibri" w:cs="Arial"/>
          <w:color w:val="222222"/>
        </w:rPr>
        <w:t>πρέπει να διατηρηθεί</w:t>
      </w:r>
      <w:r w:rsidRPr="00642983">
        <w:t xml:space="preserve"> </w:t>
      </w:r>
      <w:r w:rsidRPr="00642983">
        <w:rPr>
          <w:rStyle w:val="hps"/>
          <w:rFonts w:ascii="Calibri" w:hAnsi="Calibri" w:cs="Arial"/>
          <w:color w:val="222222"/>
        </w:rPr>
        <w:t>η ικανότητα της ΤΑ να</w:t>
      </w:r>
      <w:r w:rsidRPr="00642983">
        <w:t xml:space="preserve"> </w:t>
      </w:r>
      <w:r w:rsidRPr="00642983">
        <w:rPr>
          <w:rStyle w:val="hps"/>
          <w:rFonts w:ascii="Calibri" w:hAnsi="Calibri" w:cs="Arial"/>
          <w:color w:val="222222"/>
        </w:rPr>
        <w:t>επενδύει</w:t>
      </w:r>
      <w:r w:rsidRPr="00642983">
        <w:t xml:space="preserve"> </w:t>
      </w:r>
      <w:r w:rsidRPr="00642983">
        <w:rPr>
          <w:rStyle w:val="hps"/>
          <w:rFonts w:ascii="Calibri" w:hAnsi="Calibri" w:cs="Arial"/>
          <w:color w:val="222222"/>
        </w:rPr>
        <w:t>σε υποδομές</w:t>
      </w:r>
      <w:r w:rsidRPr="00642983">
        <w:t xml:space="preserve">, </w:t>
      </w:r>
      <w:r w:rsidRPr="00642983">
        <w:rPr>
          <w:rStyle w:val="hps"/>
          <w:rFonts w:ascii="Calibri" w:hAnsi="Calibri" w:cs="Arial"/>
          <w:color w:val="222222"/>
        </w:rPr>
        <w:t>να στηρίζει</w:t>
      </w:r>
      <w:r w:rsidRPr="00642983">
        <w:t xml:space="preserve"> </w:t>
      </w:r>
      <w:r w:rsidRPr="00642983">
        <w:rPr>
          <w:rStyle w:val="hps"/>
          <w:rFonts w:ascii="Calibri" w:hAnsi="Calibri" w:cs="Arial"/>
          <w:color w:val="222222"/>
        </w:rPr>
        <w:t>την τοπική οικονομία</w:t>
      </w:r>
      <w:r w:rsidRPr="00642983">
        <w:t xml:space="preserve"> </w:t>
      </w:r>
      <w:r w:rsidRPr="00642983">
        <w:rPr>
          <w:rStyle w:val="hps"/>
          <w:rFonts w:ascii="Calibri" w:hAnsi="Calibri" w:cs="Arial"/>
          <w:color w:val="222222"/>
        </w:rPr>
        <w:t>και τη διατήρηση</w:t>
      </w:r>
      <w:r w:rsidRPr="00642983">
        <w:t xml:space="preserve"> </w:t>
      </w:r>
      <w:r w:rsidRPr="00642983">
        <w:rPr>
          <w:rStyle w:val="hps"/>
          <w:rFonts w:ascii="Calibri" w:hAnsi="Calibri" w:cs="Arial"/>
          <w:color w:val="222222"/>
        </w:rPr>
        <w:t>της απασχόλησης</w:t>
      </w:r>
      <w:r w:rsidRPr="00642983">
        <w:t xml:space="preserve">, </w:t>
      </w:r>
      <w:r w:rsidRPr="00642983">
        <w:rPr>
          <w:rStyle w:val="hps"/>
          <w:rFonts w:ascii="Calibri" w:hAnsi="Calibri" w:cs="Arial"/>
          <w:color w:val="222222"/>
        </w:rPr>
        <w:t>εξασφαλίζοντας παράλληλα τη</w:t>
      </w:r>
      <w:r w:rsidRPr="00642983">
        <w:t xml:space="preserve"> </w:t>
      </w:r>
      <w:r w:rsidRPr="00642983">
        <w:rPr>
          <w:rStyle w:val="hps"/>
          <w:rFonts w:ascii="Calibri" w:hAnsi="Calibri" w:cs="Arial"/>
          <w:color w:val="222222"/>
        </w:rPr>
        <w:t>μακροπρόθεσμη ανάπτυξη</w:t>
      </w:r>
      <w:r w:rsidRPr="00642983">
        <w:t xml:space="preserve"> </w:t>
      </w:r>
      <w:r w:rsidRPr="00642983">
        <w:rPr>
          <w:rStyle w:val="hps"/>
          <w:rFonts w:ascii="Calibri" w:hAnsi="Calibri" w:cs="Arial"/>
          <w:color w:val="222222"/>
        </w:rPr>
        <w:t>της Ευρώπης</w:t>
      </w:r>
      <w:r w:rsidRPr="00642983">
        <w:t>.</w:t>
      </w:r>
    </w:p>
    <w:p w:rsidR="00443A32" w:rsidRPr="00642983" w:rsidRDefault="00443A32" w:rsidP="00443A32">
      <w:pPr>
        <w:rPr>
          <w:rStyle w:val="hps"/>
          <w:rFonts w:ascii="Calibri" w:hAnsi="Calibri" w:cs="Arial"/>
          <w:color w:val="222222"/>
        </w:rPr>
      </w:pPr>
      <w:r w:rsidRPr="00642983">
        <w:rPr>
          <w:rStyle w:val="hps"/>
          <w:rFonts w:ascii="Calibri" w:hAnsi="Calibri" w:cs="Arial"/>
          <w:color w:val="222222"/>
        </w:rPr>
        <w:t>Το CEMR</w:t>
      </w:r>
      <w:r w:rsidRPr="00642983">
        <w:t xml:space="preserve"> </w:t>
      </w:r>
      <w:r w:rsidRPr="00642983">
        <w:rPr>
          <w:rStyle w:val="hps"/>
          <w:rFonts w:ascii="Calibri" w:hAnsi="Calibri" w:cs="Arial"/>
          <w:color w:val="222222"/>
        </w:rPr>
        <w:t>ζητά</w:t>
      </w:r>
      <w:r w:rsidRPr="00642983">
        <w:t xml:space="preserve"> </w:t>
      </w:r>
      <w:r w:rsidRPr="00642983">
        <w:rPr>
          <w:rStyle w:val="hps"/>
          <w:rFonts w:ascii="Calibri" w:hAnsi="Calibri" w:cs="Arial"/>
          <w:color w:val="222222"/>
        </w:rPr>
        <w:t>να αναγνωριστεί</w:t>
      </w:r>
      <w:r w:rsidRPr="00642983">
        <w:t xml:space="preserve"> </w:t>
      </w:r>
      <w:r w:rsidRPr="00642983">
        <w:rPr>
          <w:rStyle w:val="hps"/>
          <w:rFonts w:ascii="Calibri" w:hAnsi="Calibri" w:cs="Arial"/>
          <w:color w:val="222222"/>
        </w:rPr>
        <w:t>ότι ο δανεισμός</w:t>
      </w:r>
      <w:r w:rsidRPr="00642983">
        <w:t xml:space="preserve"> </w:t>
      </w:r>
      <w:r w:rsidRPr="00642983">
        <w:rPr>
          <w:rStyle w:val="hps"/>
          <w:rFonts w:ascii="Calibri" w:hAnsi="Calibri" w:cs="Arial"/>
          <w:color w:val="222222"/>
        </w:rPr>
        <w:t>για κεφαλαιουχικές δαπάνες</w:t>
      </w:r>
      <w:r w:rsidRPr="00642983">
        <w:t xml:space="preserve"> </w:t>
      </w:r>
      <w:r w:rsidRPr="00642983">
        <w:rPr>
          <w:rStyle w:val="hps"/>
          <w:rFonts w:ascii="Calibri" w:hAnsi="Calibri" w:cs="Arial"/>
          <w:color w:val="222222"/>
        </w:rPr>
        <w:t>της Τοπικής Αυτοδιοίκησης είναι</w:t>
      </w:r>
      <w:r w:rsidRPr="00642983">
        <w:t xml:space="preserve"> </w:t>
      </w:r>
      <w:r w:rsidRPr="00642983">
        <w:rPr>
          <w:rStyle w:val="hps"/>
          <w:rFonts w:ascii="Calibri" w:hAnsi="Calibri" w:cs="Arial"/>
          <w:color w:val="222222"/>
        </w:rPr>
        <w:t>μια παραγωγική</w:t>
      </w:r>
      <w:r w:rsidRPr="00642983">
        <w:t xml:space="preserve"> </w:t>
      </w:r>
      <w:r w:rsidRPr="00642983">
        <w:rPr>
          <w:rStyle w:val="hps"/>
          <w:rFonts w:ascii="Calibri" w:hAnsi="Calibri" w:cs="Arial"/>
          <w:color w:val="222222"/>
        </w:rPr>
        <w:t>επένδυση</w:t>
      </w:r>
      <w:r>
        <w:rPr>
          <w:rStyle w:val="hps"/>
          <w:rFonts w:ascii="Calibri" w:hAnsi="Calibri" w:cs="Arial"/>
          <w:color w:val="222222"/>
        </w:rPr>
        <w:t>,</w:t>
      </w:r>
      <w:r w:rsidRPr="00642983">
        <w:rPr>
          <w:rStyle w:val="hps"/>
          <w:rFonts w:ascii="Calibri" w:hAnsi="Calibri" w:cs="Arial"/>
          <w:color w:val="222222"/>
        </w:rPr>
        <w:t xml:space="preserve"> που αυξάνει</w:t>
      </w:r>
      <w:r w:rsidRPr="00642983">
        <w:t xml:space="preserve"> </w:t>
      </w:r>
      <w:r w:rsidRPr="00642983">
        <w:rPr>
          <w:rStyle w:val="hps"/>
          <w:rFonts w:ascii="Calibri" w:hAnsi="Calibri" w:cs="Arial"/>
          <w:color w:val="222222"/>
        </w:rPr>
        <w:t>την αξία του ενεργητικού</w:t>
      </w:r>
      <w:r w:rsidRPr="00642983">
        <w:t xml:space="preserve"> </w:t>
      </w:r>
      <w:r w:rsidRPr="00642983">
        <w:rPr>
          <w:rStyle w:val="hps"/>
          <w:rFonts w:ascii="Calibri" w:hAnsi="Calibri" w:cs="Arial"/>
          <w:color w:val="222222"/>
        </w:rPr>
        <w:t>της Τοπικής Αυτοδιοίκησης</w:t>
      </w:r>
      <w:r w:rsidRPr="00642983">
        <w:t xml:space="preserve"> </w:t>
      </w:r>
      <w:r w:rsidRPr="00642983">
        <w:rPr>
          <w:rStyle w:val="hps"/>
          <w:rFonts w:ascii="Calibri" w:hAnsi="Calibri" w:cs="Arial"/>
          <w:color w:val="222222"/>
        </w:rPr>
        <w:t>σε μεσοπρόθεσμη και</w:t>
      </w:r>
      <w:r w:rsidRPr="00642983">
        <w:t xml:space="preserve"> </w:t>
      </w:r>
      <w:r w:rsidRPr="00642983">
        <w:rPr>
          <w:rStyle w:val="hps"/>
          <w:rFonts w:ascii="Calibri" w:hAnsi="Calibri" w:cs="Arial"/>
          <w:color w:val="222222"/>
        </w:rPr>
        <w:t>μακροπρόθεσμη βάση</w:t>
      </w:r>
      <w:r w:rsidRPr="00642983">
        <w:t xml:space="preserve">. </w:t>
      </w:r>
      <w:r w:rsidRPr="00642983">
        <w:rPr>
          <w:rStyle w:val="hps"/>
          <w:rFonts w:ascii="Calibri" w:hAnsi="Calibri" w:cs="Arial"/>
          <w:color w:val="222222"/>
        </w:rPr>
        <w:t>Σε αυτό το</w:t>
      </w:r>
      <w:r w:rsidRPr="00642983">
        <w:t xml:space="preserve"> </w:t>
      </w:r>
      <w:r w:rsidRPr="00642983">
        <w:rPr>
          <w:rStyle w:val="hps"/>
          <w:rFonts w:ascii="Calibri" w:hAnsi="Calibri" w:cs="Arial"/>
          <w:color w:val="222222"/>
        </w:rPr>
        <w:t>πλαίσιο</w:t>
      </w:r>
      <w:r w:rsidRPr="00642983">
        <w:t xml:space="preserve">, </w:t>
      </w:r>
      <w:r w:rsidRPr="00642983">
        <w:rPr>
          <w:rStyle w:val="hps"/>
          <w:rFonts w:ascii="Calibri" w:hAnsi="Calibri" w:cs="Arial"/>
          <w:color w:val="222222"/>
        </w:rPr>
        <w:t>οι τοπικές</w:t>
      </w:r>
      <w:r w:rsidRPr="00642983">
        <w:t xml:space="preserve"> </w:t>
      </w:r>
      <w:r w:rsidRPr="00642983">
        <w:rPr>
          <w:rStyle w:val="hps"/>
          <w:rFonts w:ascii="Calibri" w:hAnsi="Calibri" w:cs="Arial"/>
          <w:color w:val="222222"/>
        </w:rPr>
        <w:t>και περιφερειακές αρχές</w:t>
      </w:r>
      <w:r w:rsidRPr="00642983">
        <w:t xml:space="preserve"> </w:t>
      </w:r>
      <w:r w:rsidRPr="00642983">
        <w:rPr>
          <w:rStyle w:val="hps"/>
          <w:rFonts w:ascii="Calibri" w:hAnsi="Calibri" w:cs="Arial"/>
          <w:color w:val="222222"/>
        </w:rPr>
        <w:t>χρειάζονται περισσότερη</w:t>
      </w:r>
      <w:r w:rsidRPr="00642983">
        <w:t xml:space="preserve"> </w:t>
      </w:r>
      <w:r w:rsidRPr="00642983">
        <w:rPr>
          <w:rStyle w:val="hps"/>
          <w:rFonts w:ascii="Calibri" w:hAnsi="Calibri" w:cs="Arial"/>
          <w:color w:val="222222"/>
        </w:rPr>
        <w:t>ευελιξία</w:t>
      </w:r>
      <w:r w:rsidRPr="00642983">
        <w:t xml:space="preserve"> </w:t>
      </w:r>
      <w:r w:rsidRPr="00642983">
        <w:rPr>
          <w:rStyle w:val="hps"/>
          <w:rFonts w:ascii="Calibri" w:hAnsi="Calibri" w:cs="Arial"/>
          <w:color w:val="222222"/>
        </w:rPr>
        <w:t>από</w:t>
      </w:r>
      <w:r w:rsidRPr="00642983">
        <w:t xml:space="preserve"> </w:t>
      </w:r>
      <w:r w:rsidRPr="00642983">
        <w:rPr>
          <w:rStyle w:val="hps"/>
          <w:rFonts w:ascii="Calibri" w:hAnsi="Calibri" w:cs="Arial"/>
          <w:color w:val="222222"/>
        </w:rPr>
        <w:t>την ΕΕ</w:t>
      </w:r>
      <w:r w:rsidRPr="00642983">
        <w:t xml:space="preserve"> </w:t>
      </w:r>
      <w:r w:rsidRPr="00642983">
        <w:rPr>
          <w:rStyle w:val="hps"/>
          <w:rFonts w:ascii="Calibri" w:hAnsi="Calibri" w:cs="Arial"/>
          <w:color w:val="222222"/>
        </w:rPr>
        <w:t>και τις εθνικές κυβερνήσεις</w:t>
      </w:r>
      <w:r w:rsidRPr="00642983">
        <w:t xml:space="preserve"> </w:t>
      </w:r>
      <w:r>
        <w:rPr>
          <w:rStyle w:val="hps"/>
          <w:rFonts w:ascii="Calibri" w:hAnsi="Calibri" w:cs="Arial"/>
          <w:color w:val="222222"/>
        </w:rPr>
        <w:t>τους,</w:t>
      </w:r>
      <w:r w:rsidRPr="00642983">
        <w:rPr>
          <w:rStyle w:val="hps"/>
          <w:rFonts w:ascii="Calibri" w:hAnsi="Calibri" w:cs="Arial"/>
          <w:color w:val="222222"/>
        </w:rPr>
        <w:t xml:space="preserve"> </w:t>
      </w:r>
      <w:r>
        <w:rPr>
          <w:rStyle w:val="hps"/>
          <w:rFonts w:ascii="Calibri" w:hAnsi="Calibri" w:cs="Arial"/>
          <w:color w:val="222222"/>
        </w:rPr>
        <w:t>ώστε</w:t>
      </w:r>
      <w:r w:rsidRPr="00642983">
        <w:rPr>
          <w:rStyle w:val="hps"/>
          <w:rFonts w:ascii="Calibri" w:hAnsi="Calibri" w:cs="Arial"/>
          <w:color w:val="222222"/>
        </w:rPr>
        <w:t xml:space="preserve"> να</w:t>
      </w:r>
      <w:r w:rsidRPr="00642983">
        <w:t xml:space="preserve"> </w:t>
      </w:r>
      <w:r w:rsidRPr="00642983">
        <w:rPr>
          <w:rStyle w:val="hps"/>
          <w:rFonts w:ascii="Calibri" w:hAnsi="Calibri" w:cs="Arial"/>
          <w:color w:val="222222"/>
        </w:rPr>
        <w:t>εκπληρώσουν τις αρμοδιότητες τους και να αντιμετωπίσου</w:t>
      </w:r>
      <w:r>
        <w:rPr>
          <w:rStyle w:val="hps"/>
          <w:rFonts w:ascii="Calibri" w:hAnsi="Calibri" w:cs="Arial"/>
          <w:color w:val="222222"/>
        </w:rPr>
        <w:t>ν</w:t>
      </w:r>
      <w:r w:rsidRPr="00642983">
        <w:rPr>
          <w:rStyle w:val="hps"/>
          <w:rFonts w:ascii="Calibri" w:hAnsi="Calibri" w:cs="Arial"/>
          <w:color w:val="222222"/>
        </w:rPr>
        <w:t xml:space="preserve"> τις ανάγκες των δημοτών </w:t>
      </w:r>
      <w:r>
        <w:rPr>
          <w:rStyle w:val="hps"/>
          <w:rFonts w:ascii="Calibri" w:hAnsi="Calibri" w:cs="Arial"/>
          <w:color w:val="222222"/>
        </w:rPr>
        <w:t>τους,</w:t>
      </w:r>
      <w:r w:rsidRPr="00642983">
        <w:rPr>
          <w:rStyle w:val="hps"/>
          <w:rFonts w:ascii="Calibri" w:hAnsi="Calibri" w:cs="Arial"/>
          <w:color w:val="222222"/>
        </w:rPr>
        <w:t xml:space="preserve"> όπως αυτές εκφράζονται σε χωρικό επίπεδο. </w:t>
      </w:r>
    </w:p>
    <w:p w:rsidR="00443A32" w:rsidRPr="00642983" w:rsidRDefault="00443A32" w:rsidP="00443A32">
      <w:r w:rsidRPr="00642983">
        <w:rPr>
          <w:rStyle w:val="hps"/>
          <w:rFonts w:ascii="Calibri" w:hAnsi="Calibri" w:cs="Arial"/>
          <w:color w:val="222222"/>
        </w:rPr>
        <w:t>Το CEMR</w:t>
      </w:r>
      <w:r w:rsidRPr="00642983">
        <w:t xml:space="preserve"> </w:t>
      </w:r>
      <w:r w:rsidRPr="00642983">
        <w:rPr>
          <w:rStyle w:val="hps"/>
          <w:rFonts w:ascii="Calibri" w:hAnsi="Calibri" w:cs="Arial"/>
          <w:color w:val="222222"/>
        </w:rPr>
        <w:t>απαιτεί</w:t>
      </w:r>
      <w:r w:rsidRPr="00642983">
        <w:t xml:space="preserve"> </w:t>
      </w:r>
      <w:r w:rsidRPr="00642983">
        <w:rPr>
          <w:rStyle w:val="hps"/>
          <w:rFonts w:ascii="Calibri" w:hAnsi="Calibri" w:cs="Arial"/>
          <w:color w:val="222222"/>
        </w:rPr>
        <w:t>ο υπολογισμός</w:t>
      </w:r>
      <w:r w:rsidRPr="00642983">
        <w:t xml:space="preserve"> </w:t>
      </w:r>
      <w:r w:rsidRPr="00642983">
        <w:rPr>
          <w:rStyle w:val="hps"/>
          <w:rFonts w:ascii="Calibri" w:hAnsi="Calibri" w:cs="Arial"/>
          <w:color w:val="222222"/>
        </w:rPr>
        <w:t>των δημοσίων επενδύσεων</w:t>
      </w:r>
      <w:r w:rsidRPr="00642983">
        <w:t xml:space="preserve"> </w:t>
      </w:r>
      <w:r w:rsidRPr="00642983">
        <w:rPr>
          <w:rStyle w:val="hps"/>
          <w:rFonts w:ascii="Calibri" w:hAnsi="Calibri" w:cs="Arial"/>
          <w:color w:val="222222"/>
        </w:rPr>
        <w:t>ως προς τα κριτήρια</w:t>
      </w:r>
      <w:r w:rsidRPr="00642983">
        <w:t xml:space="preserve"> </w:t>
      </w:r>
      <w:r w:rsidRPr="00642983">
        <w:rPr>
          <w:rStyle w:val="hps"/>
          <w:rFonts w:ascii="Calibri" w:hAnsi="Calibri" w:cs="Arial"/>
          <w:color w:val="222222"/>
        </w:rPr>
        <w:t>του ελλείμματος και</w:t>
      </w:r>
      <w:r w:rsidRPr="00642983">
        <w:t xml:space="preserve"> </w:t>
      </w:r>
      <w:r w:rsidRPr="00642983">
        <w:rPr>
          <w:rStyle w:val="hps"/>
          <w:rFonts w:ascii="Calibri" w:hAnsi="Calibri" w:cs="Arial"/>
          <w:color w:val="222222"/>
        </w:rPr>
        <w:t>του χρέους</w:t>
      </w:r>
      <w:r w:rsidRPr="00642983">
        <w:t xml:space="preserve"> </w:t>
      </w:r>
      <w:r w:rsidRPr="00642983">
        <w:rPr>
          <w:rStyle w:val="hps"/>
          <w:rFonts w:ascii="Calibri" w:hAnsi="Calibri" w:cs="Arial"/>
          <w:color w:val="222222"/>
        </w:rPr>
        <w:t>του ΣΣΑ, να τροποποιηθεί κατά</w:t>
      </w:r>
      <w:r w:rsidRPr="00642983">
        <w:t xml:space="preserve"> </w:t>
      </w:r>
      <w:r>
        <w:t xml:space="preserve">τέτοιον </w:t>
      </w:r>
      <w:r w:rsidRPr="00642983">
        <w:rPr>
          <w:rStyle w:val="hps"/>
          <w:rFonts w:ascii="Calibri" w:hAnsi="Calibri" w:cs="Arial"/>
          <w:color w:val="222222"/>
        </w:rPr>
        <w:t>τρόπο ώστε οι</w:t>
      </w:r>
      <w:r w:rsidRPr="00642983">
        <w:t xml:space="preserve"> </w:t>
      </w:r>
      <w:r w:rsidRPr="00642983">
        <w:rPr>
          <w:rStyle w:val="hps"/>
          <w:rFonts w:ascii="Calibri" w:hAnsi="Calibri" w:cs="Arial"/>
          <w:color w:val="222222"/>
        </w:rPr>
        <w:t>μακροπρόθεσμες δημόσιες</w:t>
      </w:r>
      <w:r w:rsidRPr="00642983">
        <w:t xml:space="preserve"> </w:t>
      </w:r>
      <w:r w:rsidRPr="00642983">
        <w:rPr>
          <w:rStyle w:val="hps"/>
          <w:rFonts w:ascii="Calibri" w:hAnsi="Calibri" w:cs="Arial"/>
          <w:color w:val="222222"/>
        </w:rPr>
        <w:t xml:space="preserve">επενδύσεις, που </w:t>
      </w:r>
      <w:proofErr w:type="spellStart"/>
      <w:r w:rsidRPr="00642983">
        <w:rPr>
          <w:rStyle w:val="hps"/>
          <w:rFonts w:ascii="Calibri" w:hAnsi="Calibri" w:cs="Arial"/>
          <w:color w:val="222222"/>
        </w:rPr>
        <w:t>λογιστικοποιούνται</w:t>
      </w:r>
      <w:proofErr w:type="spellEnd"/>
      <w:r w:rsidRPr="00642983">
        <w:rPr>
          <w:rStyle w:val="hps"/>
          <w:rFonts w:ascii="Calibri" w:hAnsi="Calibri" w:cs="Arial"/>
          <w:color w:val="222222"/>
        </w:rPr>
        <w:t>,</w:t>
      </w:r>
      <w:r w:rsidRPr="00642983">
        <w:t xml:space="preserve"> </w:t>
      </w:r>
      <w:r w:rsidRPr="00642983">
        <w:rPr>
          <w:rStyle w:val="hps"/>
          <w:rFonts w:ascii="Calibri" w:hAnsi="Calibri" w:cs="Arial"/>
          <w:color w:val="222222"/>
        </w:rPr>
        <w:t>να</w:t>
      </w:r>
      <w:r w:rsidRPr="00642983">
        <w:t xml:space="preserve"> </w:t>
      </w:r>
      <w:r w:rsidRPr="00642983">
        <w:rPr>
          <w:rStyle w:val="hps"/>
          <w:rFonts w:ascii="Calibri" w:hAnsi="Calibri" w:cs="Arial"/>
          <w:color w:val="222222"/>
        </w:rPr>
        <w:t>καλύπτουν το συνολικό χρόνο λειτουργίας της επένδυσης και</w:t>
      </w:r>
      <w:r w:rsidRPr="00642983">
        <w:t xml:space="preserve"> </w:t>
      </w:r>
      <w:r w:rsidRPr="00642983">
        <w:rPr>
          <w:rStyle w:val="hps"/>
          <w:rFonts w:ascii="Calibri" w:hAnsi="Calibri" w:cs="Arial"/>
          <w:color w:val="222222"/>
        </w:rPr>
        <w:t>όχι μόνο</w:t>
      </w:r>
      <w:r w:rsidRPr="00642983">
        <w:t xml:space="preserve"> </w:t>
      </w:r>
      <w:r w:rsidRPr="00642983">
        <w:rPr>
          <w:rStyle w:val="hps"/>
          <w:rFonts w:ascii="Calibri" w:hAnsi="Calibri" w:cs="Arial"/>
          <w:color w:val="222222"/>
        </w:rPr>
        <w:t>κατά τη διάρκεια του</w:t>
      </w:r>
      <w:r w:rsidRPr="00642983">
        <w:t xml:space="preserve"> </w:t>
      </w:r>
      <w:r w:rsidRPr="00642983">
        <w:rPr>
          <w:rStyle w:val="hps"/>
          <w:rFonts w:ascii="Calibri" w:hAnsi="Calibri" w:cs="Arial"/>
          <w:color w:val="222222"/>
        </w:rPr>
        <w:t>πρώτου</w:t>
      </w:r>
      <w:r w:rsidRPr="00642983">
        <w:t xml:space="preserve"> </w:t>
      </w:r>
      <w:r w:rsidRPr="00642983">
        <w:rPr>
          <w:rStyle w:val="hps"/>
          <w:rFonts w:ascii="Calibri" w:hAnsi="Calibri" w:cs="Arial"/>
          <w:color w:val="222222"/>
        </w:rPr>
        <w:t>έτους, στο οποίο</w:t>
      </w:r>
      <w:r w:rsidRPr="00642983">
        <w:t xml:space="preserve"> </w:t>
      </w:r>
      <w:r w:rsidRPr="00642983">
        <w:rPr>
          <w:rStyle w:val="hps"/>
          <w:rFonts w:ascii="Calibri" w:hAnsi="Calibri" w:cs="Arial"/>
          <w:color w:val="222222"/>
        </w:rPr>
        <w:t>εγγράφονται οι δαπάνες</w:t>
      </w:r>
      <w:r w:rsidRPr="00642983">
        <w:t>.</w:t>
      </w:r>
    </w:p>
    <w:p w:rsidR="00443A32" w:rsidRPr="00642983" w:rsidRDefault="00443A32" w:rsidP="00443A32">
      <w:r w:rsidRPr="00642983">
        <w:t xml:space="preserve">Σημαντικό εργαλείο για την εφαρμογή αυτής της κοινοτικής πολιτικής θεωρείται το </w:t>
      </w:r>
      <w:proofErr w:type="spellStart"/>
      <w:r w:rsidRPr="00642983">
        <w:rPr>
          <w:rStyle w:val="a8"/>
          <w:rFonts w:ascii="Calibri" w:hAnsi="Calibri" w:cs="Arial"/>
        </w:rPr>
        <w:t>Juncker</w:t>
      </w:r>
      <w:proofErr w:type="spellEnd"/>
      <w:r w:rsidRPr="00642983">
        <w:rPr>
          <w:rStyle w:val="a8"/>
          <w:rFonts w:ascii="Calibri" w:hAnsi="Calibri" w:cs="Arial"/>
        </w:rPr>
        <w:t xml:space="preserve"> </w:t>
      </w:r>
      <w:proofErr w:type="spellStart"/>
      <w:r w:rsidRPr="00642983">
        <w:rPr>
          <w:rStyle w:val="a8"/>
          <w:rFonts w:ascii="Calibri" w:hAnsi="Calibri" w:cs="Arial"/>
        </w:rPr>
        <w:t>Plan</w:t>
      </w:r>
      <w:proofErr w:type="spellEnd"/>
      <w:r>
        <w:rPr>
          <w:rStyle w:val="a8"/>
          <w:rFonts w:ascii="Calibri" w:hAnsi="Calibri" w:cs="Arial"/>
        </w:rPr>
        <w:t>,</w:t>
      </w:r>
      <w:r w:rsidRPr="00642983">
        <w:rPr>
          <w:rStyle w:val="a8"/>
          <w:rFonts w:ascii="Calibri" w:hAnsi="Calibri" w:cs="Arial"/>
        </w:rPr>
        <w:t xml:space="preserve"> συνολικού ύψους 315 δις € περίπου. Από αυτή την άποψη είναι πολύ επίκαιρη η πρόταση της Κεντρικής Ένωσης Δήμων Ελλάδας (ΚΕΔΕ), που προτείνει το 10% του Σχεδίου </w:t>
      </w:r>
      <w:proofErr w:type="spellStart"/>
      <w:r w:rsidRPr="00642983">
        <w:rPr>
          <w:rStyle w:val="a8"/>
          <w:rFonts w:ascii="Calibri" w:hAnsi="Calibri" w:cs="Arial"/>
        </w:rPr>
        <w:t>Γιούνκερ</w:t>
      </w:r>
      <w:proofErr w:type="spellEnd"/>
      <w:r w:rsidRPr="00642983">
        <w:rPr>
          <w:rStyle w:val="a8"/>
          <w:rFonts w:ascii="Calibri" w:hAnsi="Calibri" w:cs="Arial"/>
        </w:rPr>
        <w:t xml:space="preserve"> να κατευθυνθεί </w:t>
      </w:r>
      <w:r w:rsidRPr="00BB27D6">
        <w:rPr>
          <w:rStyle w:val="a8"/>
          <w:rFonts w:ascii="Calibri" w:hAnsi="Calibri" w:cs="Arial"/>
        </w:rPr>
        <w:t>αποκλειστικά σε δημοτικές επενδύσεις</w:t>
      </w:r>
      <w:r w:rsidRPr="00642983">
        <w:rPr>
          <w:rStyle w:val="a8"/>
          <w:rFonts w:ascii="Calibri" w:hAnsi="Calibri" w:cs="Arial"/>
        </w:rPr>
        <w:t xml:space="preserve">. </w:t>
      </w:r>
    </w:p>
    <w:p w:rsidR="00443A32" w:rsidRPr="00642983" w:rsidRDefault="00443A32" w:rsidP="00443A32">
      <w:r w:rsidRPr="00642983">
        <w:t>Συμπέρασμα</w:t>
      </w:r>
    </w:p>
    <w:p w:rsidR="00443A32" w:rsidRPr="00642983" w:rsidRDefault="00443A32" w:rsidP="00443A32">
      <w:r w:rsidRPr="00642983">
        <w:t>Μία σημαντική διέξοδος από την κρίση μπορεί να αποτελέσει η γενναία αύξηση του ΠΔΕ</w:t>
      </w:r>
      <w:r>
        <w:t>,</w:t>
      </w:r>
      <w:r w:rsidRPr="00642983">
        <w:t xml:space="preserve"> που θα κατευθύνεται κυρίως σε έναν ειδικό κωδικό για τις δημοτικές επενδύσεις</w:t>
      </w:r>
      <w:r>
        <w:t xml:space="preserve"> </w:t>
      </w:r>
    </w:p>
    <w:p w:rsidR="00443A32" w:rsidRDefault="00443A32" w:rsidP="00443A32">
      <w:r w:rsidRPr="00642983">
        <w:t>Παράλληλα, απαιτε</w:t>
      </w:r>
      <w:r>
        <w:t>ίται η δημιουργία ενός Τοπικού Αναπτυξιακού Π</w:t>
      </w:r>
      <w:r w:rsidRPr="00642983">
        <w:t xml:space="preserve">ρογράμματος που θα λειτουργεί συμπληρωματικά προς το ΕΣΠΑ και θα συμβάλλει στην </w:t>
      </w:r>
      <w:r w:rsidR="008C432A">
        <w:t xml:space="preserve">τόνωση της </w:t>
      </w:r>
      <w:r w:rsidRPr="00642983">
        <w:t xml:space="preserve">επενδυτικής </w:t>
      </w:r>
      <w:r w:rsidR="008C432A">
        <w:t xml:space="preserve">δραστηριότητας </w:t>
      </w:r>
      <w:r w:rsidRPr="00642983">
        <w:t xml:space="preserve">στους δήμους. </w:t>
      </w:r>
    </w:p>
    <w:p w:rsidR="00443A32" w:rsidRDefault="00443A32" w:rsidP="008C432A">
      <w:pPr>
        <w:pStyle w:val="2"/>
        <w:ind w:left="680" w:hanging="680"/>
      </w:pPr>
      <w:r>
        <w:lastRenderedPageBreak/>
        <w:t>Το Πράσινο Ταμείο</w:t>
      </w:r>
    </w:p>
    <w:p w:rsidR="00443A32" w:rsidRPr="00B519F5" w:rsidRDefault="00443A32" w:rsidP="00443A32">
      <w:pPr>
        <w:pStyle w:val="4"/>
      </w:pPr>
      <w:r w:rsidRPr="00B519F5">
        <w:t>Θεσμικό πλαίσιο και στόχοι</w:t>
      </w:r>
    </w:p>
    <w:p w:rsidR="00443A32" w:rsidRPr="00972E48" w:rsidRDefault="00443A32" w:rsidP="00443A32">
      <w:pPr>
        <w:spacing w:before="120" w:line="240" w:lineRule="auto"/>
        <w:rPr>
          <w:i/>
        </w:rPr>
      </w:pPr>
      <w:r w:rsidRPr="0049034C">
        <w:t>Τ</w:t>
      </w:r>
      <w:r>
        <w:t>ο Πράσινο Τ</w:t>
      </w:r>
      <w:r w:rsidRPr="0049034C">
        <w:t xml:space="preserve">αμείο αποτελεί διάδοχο του τέως </w:t>
      </w:r>
      <w:r w:rsidRPr="00972E48">
        <w:t>ΕΤΕΡΠΣ</w:t>
      </w:r>
      <w:r w:rsidRPr="0049034C">
        <w:t xml:space="preserve">. Δημιουργήθηκε με το νόμο 3889/2010, </w:t>
      </w:r>
      <w:r>
        <w:t>σ</w:t>
      </w:r>
      <w:r w:rsidRPr="0049034C">
        <w:t>το άρθρο 4</w:t>
      </w:r>
      <w:r>
        <w:t xml:space="preserve"> του οποίου</w:t>
      </w:r>
      <w:r w:rsidRPr="0049034C">
        <w:t xml:space="preserve"> αναφέρεται: </w:t>
      </w:r>
      <w:r w:rsidRPr="00972E48">
        <w:rPr>
          <w:i/>
        </w:rPr>
        <w:t>«το νομικό πρόσωπο δημοσίου δικαίου με την επωνυμία Ειδικό Ταμείο Εφαρμογής Ρυθμιστικών και Πολεοδομικών Σχεδίων το οποίο ιδρύθηκε με το άρθρο 19 του νομοθετικού διατάγματος 1262/1972 μετονομάζεται σε Πράσινο Ταμείο».</w:t>
      </w:r>
    </w:p>
    <w:p w:rsidR="00443A32" w:rsidRDefault="00443A32" w:rsidP="00443A32">
      <w:pPr>
        <w:spacing w:before="120" w:line="240" w:lineRule="auto"/>
        <w:rPr>
          <w:b/>
        </w:rPr>
      </w:pPr>
      <w:r w:rsidRPr="0049034C">
        <w:t>Σ</w:t>
      </w:r>
      <w:r>
        <w:t>το Πράσινο Τ</w:t>
      </w:r>
      <w:r w:rsidRPr="0049034C">
        <w:t xml:space="preserve">αμείο ανέθεσε ο νομοθέτης, μέσω χρηματοδοτικών μηχανισμών, την εφαρμογή και παρακολούθηση της υλοποίησης περιβαλλοντικών δράσεων με όρους διαφάνειας αξιοκρατίας αντικειμενικότητας και αποτελεσματικότητας. Είναι χαρακτηριστικό ότι στο άρθρο 5 του ίδιου νόμου αναφέρεται: </w:t>
      </w:r>
      <w:r w:rsidRPr="00972E48">
        <w:rPr>
          <w:i/>
        </w:rPr>
        <w:t>«σκοπός του πράσινου ταμείου είναι η ενίσχυση της ανάπτυξης μέσω της προστασίας του περιβάλλοντος με τη διαχειριστική, οικονομική, τεχνική και χρηματοπιστωτική υποστήριξη προγραμμάτων, μέτρων, παρεμβάσεων και ενεργειών που αποβλέπουν στην ανάδειξη και αποκατάσταση του περιβάλλοντος και την αντιμετώπιση της κλιματικής αλλαγής…</w:t>
      </w:r>
      <w:r w:rsidRPr="0049034C">
        <w:t xml:space="preserve">» </w:t>
      </w:r>
      <w:r w:rsidRPr="00972E48">
        <w:rPr>
          <w:b/>
        </w:rPr>
        <w:t xml:space="preserve">Είναι προφανές ότι βασικός στόχος του Ταμείου είναι η βιώσιμη ανάπτυξη η οποία εμπεριέχει την ενεργό περιβαλλοντική προστασία. </w:t>
      </w:r>
    </w:p>
    <w:p w:rsidR="00443A32" w:rsidRPr="00B519F5" w:rsidRDefault="00443A32" w:rsidP="00443A32">
      <w:pPr>
        <w:pStyle w:val="3"/>
      </w:pPr>
      <w:r w:rsidRPr="00B519F5">
        <w:t>Οι θεσμοθετημένοι</w:t>
      </w:r>
      <w:r>
        <w:t xml:space="preserve"> </w:t>
      </w:r>
      <w:r w:rsidRPr="00B519F5">
        <w:t>πόροι του Πράσινου Ταμείου</w:t>
      </w:r>
    </w:p>
    <w:p w:rsidR="00443A32" w:rsidRPr="00972E48" w:rsidRDefault="00443A32" w:rsidP="00443A32">
      <w:pPr>
        <w:spacing w:before="120" w:line="240" w:lineRule="auto"/>
        <w:rPr>
          <w:rFonts w:eastAsia="Times New Roman" w:cs="Arial"/>
          <w:lang w:eastAsia="el-GR"/>
        </w:rPr>
      </w:pPr>
      <w:r w:rsidRPr="00972E48">
        <w:t>Οι πόροι του Πράσινου Ταμείου</w:t>
      </w:r>
      <w:r>
        <w:t>,</w:t>
      </w:r>
      <w:r w:rsidRPr="00972E48">
        <w:t xml:space="preserve"> </w:t>
      </w:r>
      <w:r w:rsidRPr="00972E48">
        <w:rPr>
          <w:i/>
        </w:rPr>
        <w:t>«</w:t>
      </w:r>
      <w:r w:rsidRPr="00972E48">
        <w:rPr>
          <w:rFonts w:eastAsia="Times New Roman" w:cs="Arial"/>
          <w:i/>
          <w:lang w:eastAsia="el-GR"/>
        </w:rPr>
        <w:t>οι Πράσινοι Πόροι»</w:t>
      </w:r>
      <w:r>
        <w:rPr>
          <w:rFonts w:eastAsia="Times New Roman" w:cs="Arial"/>
          <w:i/>
          <w:lang w:eastAsia="el-GR"/>
        </w:rPr>
        <w:t>,</w:t>
      </w:r>
      <w:r w:rsidRPr="00972E48">
        <w:rPr>
          <w:rFonts w:eastAsia="Times New Roman" w:cs="Arial"/>
          <w:lang w:eastAsia="el-GR"/>
        </w:rPr>
        <w:t xml:space="preserve"> που προβλέπονται στο ά</w:t>
      </w:r>
      <w:r w:rsidRPr="00972E48">
        <w:rPr>
          <w:rFonts w:eastAsia="Times New Roman" w:cs="Arial"/>
          <w:i/>
          <w:iCs/>
          <w:lang w:eastAsia="el-GR"/>
        </w:rPr>
        <w:t>ρθρο 3 του ν. 3889/2010</w:t>
      </w:r>
      <w:r w:rsidRPr="00972E48">
        <w:rPr>
          <w:rFonts w:eastAsia="Times New Roman" w:cs="Arial"/>
          <w:lang w:eastAsia="el-GR"/>
        </w:rPr>
        <w:t xml:space="preserve"> περιλαμβάνουν το σύνολο των εσόδων και πόρων των επιμέρους Ταμείων:</w:t>
      </w:r>
    </w:p>
    <w:p w:rsidR="00443A32" w:rsidRPr="00FD44B3" w:rsidRDefault="00443A32" w:rsidP="00443A32">
      <w:pPr>
        <w:numPr>
          <w:ilvl w:val="1"/>
          <w:numId w:val="3"/>
        </w:numPr>
        <w:spacing w:before="120" w:line="240" w:lineRule="auto"/>
        <w:ind w:left="750"/>
        <w:rPr>
          <w:rFonts w:eastAsia="Times New Roman" w:cs="Arial"/>
          <w:lang w:eastAsia="el-GR"/>
        </w:rPr>
      </w:pPr>
      <w:r w:rsidRPr="00FD44B3">
        <w:rPr>
          <w:rFonts w:eastAsia="Times New Roman" w:cs="Arial"/>
          <w:lang w:eastAsia="el-GR"/>
        </w:rPr>
        <w:t xml:space="preserve">οι πόροι υπέρ του </w:t>
      </w:r>
      <w:r w:rsidRPr="00972E48">
        <w:rPr>
          <w:rFonts w:eastAsia="Times New Roman" w:cs="Arial"/>
          <w:b/>
          <w:bCs/>
          <w:lang w:eastAsia="el-GR"/>
        </w:rPr>
        <w:t>Ειδικού Ταμείου Εφαρμογής Ρυθμιστικών και Πολεοδομικών Σχεδίων (ΕΤΕΡΠΣ)</w:t>
      </w:r>
      <w:r w:rsidRPr="00FD44B3">
        <w:rPr>
          <w:rFonts w:eastAsia="Times New Roman" w:cs="Arial"/>
          <w:lang w:eastAsia="el-GR"/>
        </w:rPr>
        <w:t xml:space="preserve"> που προβλέπονται στους</w:t>
      </w:r>
      <w:r w:rsidRPr="00972E48">
        <w:rPr>
          <w:rFonts w:eastAsia="Times New Roman" w:cs="Arial"/>
          <w:i/>
          <w:iCs/>
          <w:lang w:eastAsia="el-GR"/>
        </w:rPr>
        <w:t xml:space="preserve"> ν. 743/1977 (Α΄ 319)</w:t>
      </w:r>
      <w:r w:rsidRPr="00FD44B3">
        <w:rPr>
          <w:rFonts w:eastAsia="Times New Roman" w:cs="Arial"/>
          <w:lang w:eastAsia="el-GR"/>
        </w:rPr>
        <w:t>,</w:t>
      </w:r>
      <w:r w:rsidRPr="00972E48">
        <w:rPr>
          <w:rFonts w:eastAsia="Times New Roman" w:cs="Arial"/>
          <w:i/>
          <w:iCs/>
          <w:lang w:eastAsia="el-GR"/>
        </w:rPr>
        <w:t xml:space="preserve"> 1650/1986 (Α΄ 160)</w:t>
      </w:r>
      <w:r w:rsidRPr="00FD44B3">
        <w:rPr>
          <w:rFonts w:eastAsia="Times New Roman" w:cs="Arial"/>
          <w:lang w:eastAsia="el-GR"/>
        </w:rPr>
        <w:t xml:space="preserve">, </w:t>
      </w:r>
      <w:r w:rsidRPr="00972E48">
        <w:rPr>
          <w:rFonts w:eastAsia="Times New Roman" w:cs="Arial"/>
          <w:i/>
          <w:iCs/>
          <w:lang w:eastAsia="el-GR"/>
        </w:rPr>
        <w:t>2052/1992 (Α΄ 94)</w:t>
      </w:r>
      <w:r w:rsidRPr="00FD44B3">
        <w:rPr>
          <w:rFonts w:eastAsia="Times New Roman" w:cs="Arial"/>
          <w:lang w:eastAsia="el-GR"/>
        </w:rPr>
        <w:t xml:space="preserve">, </w:t>
      </w:r>
      <w:r w:rsidRPr="00972E48">
        <w:rPr>
          <w:rFonts w:eastAsia="Times New Roman" w:cs="Arial"/>
          <w:i/>
          <w:iCs/>
          <w:lang w:eastAsia="el-GR"/>
        </w:rPr>
        <w:t>2242/1994 (Α΄162)</w:t>
      </w:r>
      <w:r w:rsidRPr="00FD44B3">
        <w:rPr>
          <w:rFonts w:eastAsia="Times New Roman" w:cs="Arial"/>
          <w:lang w:eastAsia="el-GR"/>
        </w:rPr>
        <w:t xml:space="preserve">, </w:t>
      </w:r>
      <w:r w:rsidRPr="00972E48">
        <w:rPr>
          <w:rFonts w:eastAsia="Times New Roman" w:cs="Arial"/>
          <w:i/>
          <w:iCs/>
          <w:lang w:eastAsia="el-GR"/>
        </w:rPr>
        <w:t>3468/2006 (Α΄ 129)</w:t>
      </w:r>
      <w:r w:rsidRPr="00FD44B3">
        <w:rPr>
          <w:rFonts w:eastAsia="Times New Roman" w:cs="Arial"/>
          <w:lang w:eastAsia="el-GR"/>
        </w:rPr>
        <w:t xml:space="preserve"> καθώς και στον </w:t>
      </w:r>
      <w:r w:rsidRPr="00972E48">
        <w:rPr>
          <w:rFonts w:eastAsia="Times New Roman" w:cs="Arial"/>
          <w:i/>
          <w:iCs/>
          <w:lang w:eastAsia="el-GR"/>
        </w:rPr>
        <w:t>ν. 3851/2010 (Α΄85)</w:t>
      </w:r>
    </w:p>
    <w:p w:rsidR="00443A32" w:rsidRPr="00FD44B3" w:rsidRDefault="00443A32" w:rsidP="00443A32">
      <w:pPr>
        <w:numPr>
          <w:ilvl w:val="1"/>
          <w:numId w:val="3"/>
        </w:numPr>
        <w:spacing w:before="120" w:line="240" w:lineRule="auto"/>
        <w:ind w:left="750"/>
        <w:rPr>
          <w:rFonts w:eastAsia="Times New Roman" w:cs="Arial"/>
          <w:lang w:eastAsia="el-GR"/>
        </w:rPr>
      </w:pPr>
      <w:r w:rsidRPr="00FD44B3">
        <w:rPr>
          <w:rFonts w:eastAsia="Times New Roman" w:cs="Arial"/>
          <w:lang w:eastAsia="el-GR"/>
        </w:rPr>
        <w:t xml:space="preserve">οι πόροι του </w:t>
      </w:r>
      <w:r w:rsidRPr="00972E48">
        <w:rPr>
          <w:rFonts w:eastAsia="Times New Roman" w:cs="Arial"/>
          <w:b/>
          <w:bCs/>
          <w:lang w:eastAsia="el-GR"/>
        </w:rPr>
        <w:t>«Ειδικού Φορέα Δασών»</w:t>
      </w:r>
      <w:r w:rsidRPr="00FD44B3">
        <w:rPr>
          <w:rFonts w:eastAsia="Times New Roman" w:cs="Arial"/>
          <w:lang w:eastAsia="el-GR"/>
        </w:rPr>
        <w:t xml:space="preserve"> (Φορέας 120) που προβλέπεται στο </w:t>
      </w:r>
      <w:r w:rsidRPr="00972E48">
        <w:rPr>
          <w:rFonts w:eastAsia="Times New Roman" w:cs="Arial"/>
          <w:i/>
          <w:iCs/>
          <w:lang w:eastAsia="el-GR"/>
        </w:rPr>
        <w:t>άρθρο 8 του ν. 3208/2003 (Α΄303)</w:t>
      </w:r>
      <w:r w:rsidRPr="00FD44B3">
        <w:rPr>
          <w:rFonts w:eastAsia="Times New Roman" w:cs="Arial"/>
          <w:lang w:eastAsia="el-GR"/>
        </w:rPr>
        <w:t>, όπως τροποποιείται με το</w:t>
      </w:r>
      <w:r w:rsidRPr="00972E48">
        <w:rPr>
          <w:rFonts w:eastAsia="Times New Roman" w:cs="Arial"/>
          <w:i/>
          <w:iCs/>
          <w:lang w:eastAsia="el-GR"/>
        </w:rPr>
        <w:t xml:space="preserve"> άρθρο 25</w:t>
      </w:r>
      <w:r w:rsidRPr="00FD44B3">
        <w:rPr>
          <w:rFonts w:eastAsia="Times New Roman" w:cs="Arial"/>
          <w:lang w:eastAsia="el-GR"/>
        </w:rPr>
        <w:t xml:space="preserve"> του παρόντος νόμου.</w:t>
      </w:r>
    </w:p>
    <w:p w:rsidR="00443A32" w:rsidRPr="00FD44B3" w:rsidRDefault="00443A32" w:rsidP="00443A32">
      <w:pPr>
        <w:numPr>
          <w:ilvl w:val="1"/>
          <w:numId w:val="3"/>
        </w:numPr>
        <w:spacing w:before="120" w:line="240" w:lineRule="auto"/>
        <w:ind w:left="750"/>
        <w:rPr>
          <w:rFonts w:eastAsia="Times New Roman" w:cs="Arial"/>
          <w:lang w:eastAsia="el-GR"/>
        </w:rPr>
      </w:pPr>
      <w:r w:rsidRPr="00FD44B3">
        <w:rPr>
          <w:rFonts w:eastAsia="Times New Roman" w:cs="Arial"/>
          <w:lang w:eastAsia="el-GR"/>
        </w:rPr>
        <w:t xml:space="preserve">οι πόροι του ειδικού κωδικού </w:t>
      </w:r>
      <w:r w:rsidRPr="00972E48">
        <w:rPr>
          <w:rFonts w:eastAsia="Times New Roman" w:cs="Arial"/>
          <w:b/>
          <w:bCs/>
          <w:lang w:eastAsia="el-GR"/>
        </w:rPr>
        <w:t>«Ταμείο Περιβαλλοντικού Ισοζυγίου»</w:t>
      </w:r>
      <w:r w:rsidRPr="00FD44B3">
        <w:rPr>
          <w:rFonts w:eastAsia="Times New Roman" w:cs="Arial"/>
          <w:lang w:eastAsia="el-GR"/>
        </w:rPr>
        <w:t xml:space="preserve"> που προβλέπεται στα </w:t>
      </w:r>
      <w:r w:rsidRPr="00972E48">
        <w:rPr>
          <w:rFonts w:eastAsia="Times New Roman" w:cs="Arial"/>
          <w:i/>
          <w:iCs/>
          <w:lang w:eastAsia="el-GR"/>
        </w:rPr>
        <w:t>άρθρα 6 και 7 του ν. 3843/2010 (Α΄62)</w:t>
      </w:r>
      <w:r w:rsidRPr="00FD44B3">
        <w:rPr>
          <w:rFonts w:eastAsia="Times New Roman" w:cs="Arial"/>
          <w:lang w:eastAsia="el-GR"/>
        </w:rPr>
        <w:t>.</w:t>
      </w:r>
    </w:p>
    <w:p w:rsidR="00443A32" w:rsidRPr="0049034C" w:rsidRDefault="00443A32" w:rsidP="00443A32">
      <w:pPr>
        <w:spacing w:before="120" w:line="240" w:lineRule="auto"/>
      </w:pPr>
      <w:r w:rsidRPr="0049034C">
        <w:t xml:space="preserve"> Τα έσοδα από τα τρία παραπάνω</w:t>
      </w:r>
      <w:r>
        <w:t xml:space="preserve"> </w:t>
      </w:r>
      <w:r w:rsidRPr="0049034C">
        <w:t>ταμεία είναι ενδεικτικά. Σ</w:t>
      </w:r>
      <w:r>
        <w:t>ήμερα στο Τ</w:t>
      </w:r>
      <w:r w:rsidRPr="0049034C">
        <w:t>αμείο συγκεντρώνονται ή καλύτερα θα έπρεπε ν</w:t>
      </w:r>
      <w:r>
        <w:t>α</w:t>
      </w:r>
      <w:r w:rsidRPr="0049034C">
        <w:t xml:space="preserve"> συγκεντρώνονται</w:t>
      </w:r>
      <w:r>
        <w:t>,</w:t>
      </w:r>
      <w:r w:rsidRPr="0049034C">
        <w:t xml:space="preserve"> σχεδόν διακόσιοι διαφορετικοί πόροι που προβλέπονται σε τουλάχιστον 80 διαφορετικά νομοθετήματα. Ακόμα και μία ειδική μελέτη</w:t>
      </w:r>
      <w:r>
        <w:t>,</w:t>
      </w:r>
      <w:r w:rsidRPr="0049034C">
        <w:t xml:space="preserve"> που δόθηκε από το Τ</w:t>
      </w:r>
      <w:r>
        <w:t>αμείο για να κωδικοποιήσει</w:t>
      </w:r>
      <w:r w:rsidRPr="0049034C">
        <w:t xml:space="preserve"> τους χρηματοδοτικούς πόρους </w:t>
      </w:r>
      <w:r>
        <w:t>τ</w:t>
      </w:r>
      <w:r w:rsidRPr="0049034C">
        <w:t>ου</w:t>
      </w:r>
      <w:r>
        <w:t>,</w:t>
      </w:r>
      <w:r w:rsidRPr="0049034C">
        <w:t xml:space="preserve"> </w:t>
      </w:r>
      <w:r>
        <w:t>αντιμετώπισε ιδιαίτερα προβλήματα λ</w:t>
      </w:r>
      <w:r w:rsidRPr="0049034C">
        <w:t xml:space="preserve">όγω της πολυνομίας που υπάρχει στον καθορισμό των χρηματοδοτικών πόρων του. </w:t>
      </w:r>
    </w:p>
    <w:p w:rsidR="00443A32" w:rsidRPr="00CD4FCC" w:rsidRDefault="00443A32" w:rsidP="00443A32">
      <w:pPr>
        <w:spacing w:before="120" w:line="240" w:lineRule="auto"/>
      </w:pPr>
      <w:r w:rsidRPr="00CD4FCC">
        <w:t>Τα έσοδα του Πράσινου Ταμείου έχουν δύο χαρακτηριστικά:</w:t>
      </w:r>
    </w:p>
    <w:p w:rsidR="00443A32" w:rsidRPr="00CD4FCC" w:rsidRDefault="00443A32" w:rsidP="00443A32">
      <w:pPr>
        <w:pStyle w:val="a9"/>
        <w:numPr>
          <w:ilvl w:val="0"/>
          <w:numId w:val="4"/>
        </w:numPr>
        <w:spacing w:before="120" w:line="240" w:lineRule="auto"/>
      </w:pPr>
      <w:r w:rsidRPr="00CD4FCC">
        <w:t xml:space="preserve">Η συντριπτική πλειοψηφία των εσόδων του Ταμείου προέρχεται από τους δήμους </w:t>
      </w:r>
    </w:p>
    <w:p w:rsidR="00443A32" w:rsidRPr="00CD4FCC" w:rsidRDefault="00443A32" w:rsidP="00443A32">
      <w:pPr>
        <w:pStyle w:val="a9"/>
        <w:numPr>
          <w:ilvl w:val="0"/>
          <w:numId w:val="4"/>
        </w:numPr>
        <w:spacing w:before="120" w:line="240" w:lineRule="auto"/>
      </w:pPr>
      <w:r w:rsidRPr="00CD4FCC">
        <w:t>Λόγω τεχνικών και θεσμικών προβλημάτων αλλά και έλλειψης προσωπικού τα έσοδα του Ταμείου δεν επαληθεύονται</w:t>
      </w:r>
    </w:p>
    <w:p w:rsidR="00443A32" w:rsidRPr="006A4F7D" w:rsidRDefault="00443A32" w:rsidP="00443A32">
      <w:pPr>
        <w:pStyle w:val="3"/>
      </w:pPr>
      <w:r w:rsidRPr="006A4F7D">
        <w:lastRenderedPageBreak/>
        <w:t xml:space="preserve">Τα συνολικά έσοδα του Πράσινου Ταμείου </w:t>
      </w:r>
    </w:p>
    <w:p w:rsidR="00443A32" w:rsidRDefault="00443A32" w:rsidP="00443A32">
      <w:pPr>
        <w:spacing w:before="120" w:line="240" w:lineRule="auto"/>
      </w:pPr>
      <w:r w:rsidRPr="0049034C">
        <w:t xml:space="preserve">Τα ταμειακά διαθέσιμα του Πράσινου Ταμείου </w:t>
      </w:r>
      <w:r w:rsidRPr="0049034C">
        <w:rPr>
          <w:u w:val="single"/>
        </w:rPr>
        <w:t>σήμερα</w:t>
      </w:r>
      <w:r w:rsidRPr="0049034C">
        <w:t xml:space="preserve"> υπολογίζονται σε περίπου 3 δις €. Στ</w:t>
      </w:r>
      <w:r>
        <w:t>ον παρακάτω πίνακα εμφανίζεται ο</w:t>
      </w:r>
      <w:r w:rsidRPr="0049034C">
        <w:t xml:space="preserve"> επίσημος απολογισμός του Ταμείου για το 2014. </w:t>
      </w:r>
    </w:p>
    <w:p w:rsidR="00C05869" w:rsidRDefault="00C05869" w:rsidP="00443A32">
      <w:pPr>
        <w:spacing w:before="120" w:line="240" w:lineRule="auto"/>
        <w:jc w:val="left"/>
      </w:pPr>
      <w:bookmarkStart w:id="6" w:name="_Ref469581799"/>
    </w:p>
    <w:p w:rsidR="00443A32" w:rsidRPr="0049034C" w:rsidRDefault="00443A32" w:rsidP="00443A32">
      <w:pPr>
        <w:spacing w:before="120" w:line="240" w:lineRule="auto"/>
        <w:jc w:val="left"/>
        <w:rPr>
          <w:b/>
        </w:rPr>
      </w:pPr>
      <w:r>
        <w:t xml:space="preserve">Διάγραμμα </w:t>
      </w:r>
      <w:r w:rsidR="006C74DD">
        <w:fldChar w:fldCharType="begin"/>
      </w:r>
      <w:r w:rsidR="006D64A9">
        <w:instrText xml:space="preserve"> STYLEREF 1 \s </w:instrText>
      </w:r>
      <w:r w:rsidR="006C74DD">
        <w:fldChar w:fldCharType="separate"/>
      </w:r>
      <w:r>
        <w:rPr>
          <w:noProof/>
        </w:rPr>
        <w:t>I</w:t>
      </w:r>
      <w:r w:rsidR="006C74DD">
        <w:rPr>
          <w:noProof/>
        </w:rPr>
        <w:fldChar w:fldCharType="end"/>
      </w:r>
      <w:r>
        <w:t>.3.</w:t>
      </w:r>
      <w:r w:rsidR="006C74DD">
        <w:fldChar w:fldCharType="begin"/>
      </w:r>
      <w:r w:rsidR="006D64A9">
        <w:instrText xml:space="preserve"> SEQ Διάγραμμα \* ARABIC \s 1 </w:instrText>
      </w:r>
      <w:r w:rsidR="006C74DD">
        <w:fldChar w:fldCharType="separate"/>
      </w:r>
      <w:r>
        <w:rPr>
          <w:noProof/>
        </w:rPr>
        <w:t>1</w:t>
      </w:r>
      <w:r w:rsidR="006C74DD">
        <w:rPr>
          <w:noProof/>
        </w:rPr>
        <w:fldChar w:fldCharType="end"/>
      </w:r>
      <w:bookmarkEnd w:id="6"/>
      <w:r w:rsidRPr="00CD4FCC">
        <w:rPr>
          <w:b/>
        </w:rPr>
        <w:t xml:space="preserve"> </w:t>
      </w:r>
      <w:r w:rsidRPr="0049034C">
        <w:rPr>
          <w:b/>
        </w:rPr>
        <w:t>Ταμειακά Διαθέσιμα του Πράσινου Ταμείου 2014</w:t>
      </w:r>
    </w:p>
    <w:tbl>
      <w:tblPr>
        <w:tblStyle w:val="11"/>
        <w:tblW w:w="0" w:type="auto"/>
        <w:tblInd w:w="10" w:type="dxa"/>
        <w:tblLook w:val="04A0"/>
      </w:tblPr>
      <w:tblGrid>
        <w:gridCol w:w="6222"/>
        <w:gridCol w:w="2064"/>
      </w:tblGrid>
      <w:tr w:rsidR="00443A32" w:rsidRPr="0049034C" w:rsidTr="00816B17">
        <w:trPr>
          <w:cnfStyle w:val="100000000000"/>
        </w:trPr>
        <w:tc>
          <w:tcPr>
            <w:cnfStyle w:val="001000000000"/>
            <w:tcW w:w="6222" w:type="dxa"/>
          </w:tcPr>
          <w:p w:rsidR="00443A32" w:rsidRPr="0049034C" w:rsidRDefault="00443A32" w:rsidP="00816B17">
            <w:pPr>
              <w:spacing w:before="120"/>
            </w:pPr>
            <w:r w:rsidRPr="0049034C">
              <w:t>Ταμειακά Διαθέσιμα 31.12.2013 ( Έναρξη 2014)</w:t>
            </w:r>
          </w:p>
        </w:tc>
        <w:tc>
          <w:tcPr>
            <w:tcW w:w="2064" w:type="dxa"/>
          </w:tcPr>
          <w:p w:rsidR="00443A32" w:rsidRPr="0049034C" w:rsidRDefault="00443A32" w:rsidP="00816B17">
            <w:pPr>
              <w:spacing w:before="120"/>
              <w:cnfStyle w:val="100000000000"/>
            </w:pPr>
            <w:r w:rsidRPr="0049034C">
              <w:t>2.146.259.334,24</w:t>
            </w:r>
          </w:p>
        </w:tc>
      </w:tr>
      <w:tr w:rsidR="00443A32" w:rsidRPr="0049034C" w:rsidTr="00816B17">
        <w:trPr>
          <w:cnfStyle w:val="000000100000"/>
        </w:trPr>
        <w:tc>
          <w:tcPr>
            <w:cnfStyle w:val="001000000000"/>
            <w:tcW w:w="6222" w:type="dxa"/>
          </w:tcPr>
          <w:p w:rsidR="00443A32" w:rsidRPr="0049034C" w:rsidRDefault="00443A32" w:rsidP="00816B17">
            <w:pPr>
              <w:spacing w:before="120"/>
            </w:pPr>
            <w:r w:rsidRPr="0049034C">
              <w:t>ΣΥΝ: Έσοδα Οικονομικής χρήσης 2014</w:t>
            </w:r>
          </w:p>
        </w:tc>
        <w:tc>
          <w:tcPr>
            <w:tcW w:w="2064" w:type="dxa"/>
          </w:tcPr>
          <w:p w:rsidR="00443A32" w:rsidRPr="0049034C" w:rsidRDefault="00443A32" w:rsidP="00816B17">
            <w:pPr>
              <w:spacing w:before="120"/>
              <w:cnfStyle w:val="000000100000"/>
            </w:pPr>
            <w:r w:rsidRPr="0049034C">
              <w:t>236.868.187,03</w:t>
            </w:r>
          </w:p>
        </w:tc>
      </w:tr>
      <w:tr w:rsidR="00443A32" w:rsidRPr="0049034C" w:rsidTr="00816B17">
        <w:tc>
          <w:tcPr>
            <w:cnfStyle w:val="001000000000"/>
            <w:tcW w:w="6222" w:type="dxa"/>
          </w:tcPr>
          <w:p w:rsidR="00443A32" w:rsidRPr="0049034C" w:rsidRDefault="00443A32" w:rsidP="00816B17">
            <w:pPr>
              <w:spacing w:before="120"/>
            </w:pPr>
            <w:r w:rsidRPr="0049034C">
              <w:t>ΜΕΙΟΝ: Έξοδα Οικονομικής χρήσης 2014</w:t>
            </w:r>
          </w:p>
        </w:tc>
        <w:tc>
          <w:tcPr>
            <w:tcW w:w="2064" w:type="dxa"/>
          </w:tcPr>
          <w:p w:rsidR="00443A32" w:rsidRPr="0049034C" w:rsidRDefault="00443A32" w:rsidP="00816B17">
            <w:pPr>
              <w:spacing w:before="120"/>
              <w:cnfStyle w:val="000000000000"/>
            </w:pPr>
            <w:r w:rsidRPr="0049034C">
              <w:t>8.345.187,58</w:t>
            </w:r>
          </w:p>
        </w:tc>
      </w:tr>
      <w:tr w:rsidR="00443A32" w:rsidRPr="0049034C" w:rsidTr="00816B17">
        <w:trPr>
          <w:cnfStyle w:val="000000100000"/>
        </w:trPr>
        <w:tc>
          <w:tcPr>
            <w:cnfStyle w:val="001000000000"/>
            <w:tcW w:w="6222" w:type="dxa"/>
          </w:tcPr>
          <w:p w:rsidR="00443A32" w:rsidRPr="0049034C" w:rsidRDefault="00443A32" w:rsidP="00816B17">
            <w:pPr>
              <w:spacing w:before="120"/>
            </w:pPr>
            <w:r w:rsidRPr="0049034C">
              <w:t>ΜΕΙΟΝ: Επιταγές εκδόσεως 2013</w:t>
            </w:r>
          </w:p>
        </w:tc>
        <w:tc>
          <w:tcPr>
            <w:tcW w:w="2064" w:type="dxa"/>
          </w:tcPr>
          <w:p w:rsidR="00443A32" w:rsidRPr="0049034C" w:rsidRDefault="00443A32" w:rsidP="00816B17">
            <w:pPr>
              <w:spacing w:before="120"/>
              <w:cnfStyle w:val="000000100000"/>
            </w:pPr>
            <w:r w:rsidRPr="0049034C">
              <w:t>11.645.164,97</w:t>
            </w:r>
          </w:p>
        </w:tc>
      </w:tr>
      <w:tr w:rsidR="00443A32" w:rsidRPr="0049034C" w:rsidTr="00816B17">
        <w:tc>
          <w:tcPr>
            <w:cnfStyle w:val="001000000000"/>
            <w:tcW w:w="6222" w:type="dxa"/>
          </w:tcPr>
          <w:p w:rsidR="00443A32" w:rsidRPr="0049034C" w:rsidRDefault="00443A32" w:rsidP="00816B17">
            <w:pPr>
              <w:spacing w:before="120"/>
              <w:rPr>
                <w:b w:val="0"/>
              </w:rPr>
            </w:pPr>
            <w:r w:rsidRPr="0049034C">
              <w:t>Διαθέσιμα έτους 2014</w:t>
            </w:r>
          </w:p>
        </w:tc>
        <w:tc>
          <w:tcPr>
            <w:tcW w:w="2064" w:type="dxa"/>
          </w:tcPr>
          <w:p w:rsidR="00443A32" w:rsidRPr="0049034C" w:rsidRDefault="00443A32" w:rsidP="00816B17">
            <w:pPr>
              <w:spacing w:before="120"/>
              <w:cnfStyle w:val="000000000000"/>
              <w:rPr>
                <w:b/>
              </w:rPr>
            </w:pPr>
            <w:r w:rsidRPr="0049034C">
              <w:rPr>
                <w:b/>
              </w:rPr>
              <w:t>2.363.137.168,72</w:t>
            </w:r>
          </w:p>
        </w:tc>
      </w:tr>
    </w:tbl>
    <w:p w:rsidR="00443A32" w:rsidRDefault="00443A32" w:rsidP="00443A32">
      <w:pPr>
        <w:spacing w:before="120" w:line="240" w:lineRule="auto"/>
      </w:pPr>
      <w:r w:rsidRPr="00CD4FCC">
        <w:t xml:space="preserve">Όπως επισημάνθηκε προηγούμενα ο μεγάλος όγκος των δισεκατομμυρίων αυτών, που υπάρχουν στο ΤΠΔ, προέρχεται από τους δήμους. Εάν προσπαθήσουν όμως οι δήμοι να δανειστούν από το ΤΠΔ το κόστος του χρήματος θα είναι πολλαπλάσιο του </w:t>
      </w:r>
      <w:proofErr w:type="spellStart"/>
      <w:r w:rsidRPr="00CD4FCC">
        <w:rPr>
          <w:lang w:val="en-US"/>
        </w:rPr>
        <w:t>Euribor</w:t>
      </w:r>
      <w:proofErr w:type="spellEnd"/>
      <w:r w:rsidRPr="00CD4FCC">
        <w:t xml:space="preserve"> και σίγουρα καθόλου ανταγωνιστικό σε σχέση με τα επιτόκια που απολαμβάνουν οι Ευρωπαϊκοί ΟΤΑ. </w:t>
      </w:r>
    </w:p>
    <w:p w:rsidR="00443A32" w:rsidRPr="00CD4FCC" w:rsidRDefault="00443A32" w:rsidP="00443A32">
      <w:pPr>
        <w:spacing w:before="120" w:line="240" w:lineRule="auto"/>
      </w:pPr>
      <w:r>
        <w:t>Προτείνεται:</w:t>
      </w:r>
    </w:p>
    <w:p w:rsidR="00443A32" w:rsidRPr="00CD4FCC" w:rsidRDefault="00443A32" w:rsidP="00443A32">
      <w:pPr>
        <w:pStyle w:val="a9"/>
        <w:numPr>
          <w:ilvl w:val="0"/>
          <w:numId w:val="6"/>
        </w:numPr>
        <w:spacing w:before="120" w:line="240" w:lineRule="auto"/>
      </w:pPr>
      <w:r w:rsidRPr="00CD4FCC">
        <w:t xml:space="preserve">Το ποσό που προέρχεται από τοπικούς πόρους να περάσει στην αποκλειστική διαχείριση της ΚΕΔΕ. </w:t>
      </w:r>
    </w:p>
    <w:p w:rsidR="00443A32" w:rsidRPr="00CD4FCC" w:rsidRDefault="00443A32" w:rsidP="00443A32">
      <w:pPr>
        <w:pStyle w:val="a9"/>
        <w:numPr>
          <w:ilvl w:val="0"/>
          <w:numId w:val="6"/>
        </w:numPr>
        <w:spacing w:before="120" w:line="240" w:lineRule="auto"/>
      </w:pPr>
      <w:r w:rsidRPr="00CD4FCC">
        <w:t xml:space="preserve">Το ποσό αυτό να κατευθυνθεί σε πρωτοβουλίες βιώσιμης ανάπτυξης, με έμφαση στη διατήρηση του περιβαλλοντικού ισοζυγίου, σύμφωνα και με την απόφαση του </w:t>
      </w:r>
      <w:proofErr w:type="spellStart"/>
      <w:r w:rsidRPr="00CD4FCC">
        <w:t>ΣτΕ</w:t>
      </w:r>
      <w:proofErr w:type="spellEnd"/>
      <w:r w:rsidRPr="00CD4FCC">
        <w:t xml:space="preserve">. </w:t>
      </w:r>
    </w:p>
    <w:p w:rsidR="00C05869" w:rsidRDefault="00C05869">
      <w:pPr>
        <w:spacing w:after="200" w:line="276" w:lineRule="auto"/>
        <w:jc w:val="left"/>
      </w:pPr>
      <w:r>
        <w:br w:type="page"/>
      </w:r>
    </w:p>
    <w:p w:rsidR="00443A32" w:rsidRDefault="00443A32" w:rsidP="008C432A">
      <w:pPr>
        <w:pStyle w:val="2"/>
        <w:ind w:left="680" w:hanging="680"/>
      </w:pPr>
      <w:bookmarkStart w:id="7" w:name="_Toc466830017"/>
      <w:r>
        <w:lastRenderedPageBreak/>
        <w:t>Τοπικό αναπτυξιακό σχέδιο</w:t>
      </w:r>
      <w:bookmarkEnd w:id="7"/>
    </w:p>
    <w:p w:rsidR="00443A32" w:rsidRDefault="00443A32" w:rsidP="00443A32">
      <w:pPr>
        <w:pStyle w:val="3"/>
      </w:pPr>
      <w:bookmarkStart w:id="8" w:name="_Toc466830018"/>
      <w:r>
        <w:t>Το νομοθετικό πλαίσιο</w:t>
      </w:r>
      <w:bookmarkEnd w:id="8"/>
      <w:r>
        <w:t xml:space="preserve"> </w:t>
      </w:r>
    </w:p>
    <w:p w:rsidR="00443A32" w:rsidRPr="0093272E" w:rsidRDefault="001D596F" w:rsidP="001D596F">
      <w:pPr>
        <w:spacing w:before="120" w:line="240" w:lineRule="auto"/>
      </w:pPr>
      <w:r>
        <w:t xml:space="preserve">Το </w:t>
      </w:r>
      <w:r w:rsidRPr="0093272E">
        <w:t>Πρόγραμμα Ελληνική Αρχιτεκτονική Διοίκησης και Αυτοδιοίκησης «ΕΛΛ.Α.Δ.Α.»</w:t>
      </w:r>
      <w:r>
        <w:t xml:space="preserve"> και το</w:t>
      </w:r>
      <w:r w:rsidRPr="001D596F">
        <w:t xml:space="preserve"> </w:t>
      </w:r>
      <w:r w:rsidRPr="0093272E">
        <w:t>Πρόγραμμα «Αυτοδιοίκηση - Κοινωνική Συνοχή - Ισόρροπη Ανάπτυξη (ΑΚΣΙΑ)»</w:t>
      </w:r>
      <w:r>
        <w:t xml:space="preserve"> που προβλέπονταν στο </w:t>
      </w:r>
      <w:r w:rsidR="00443A32">
        <w:t xml:space="preserve">Νόμο 3852/2010 </w:t>
      </w:r>
      <w:r>
        <w:t xml:space="preserve">ουδέποτε υλοποιήθηκαν. </w:t>
      </w:r>
      <w:r w:rsidR="00443A32" w:rsidRPr="0093272E">
        <w:t xml:space="preserve"> </w:t>
      </w:r>
    </w:p>
    <w:p w:rsidR="00443A32" w:rsidRDefault="00443A32" w:rsidP="00443A32">
      <w:pPr>
        <w:pStyle w:val="3"/>
      </w:pPr>
      <w:bookmarkStart w:id="9" w:name="_Toc466830019"/>
      <w:r>
        <w:t>Η θέση της ΚΕΔΕ</w:t>
      </w:r>
      <w:bookmarkEnd w:id="9"/>
    </w:p>
    <w:p w:rsidR="00443A32" w:rsidRPr="00034A98" w:rsidRDefault="00443A32" w:rsidP="00443A32">
      <w:r w:rsidRPr="00034A98">
        <w:t xml:space="preserve">Η επιτροπή οικονομικών της </w:t>
      </w:r>
      <w:r>
        <w:t>ΚΕΔΕ έχει λάβει τη</w:t>
      </w:r>
      <w:r w:rsidRPr="00034A98">
        <w:t xml:space="preserve"> σχετική απόφαση:</w:t>
      </w:r>
    </w:p>
    <w:p w:rsidR="00443A32" w:rsidRPr="00034A98" w:rsidRDefault="00443A32" w:rsidP="00443A32">
      <w:pPr>
        <w:pStyle w:val="4"/>
      </w:pPr>
      <w:r w:rsidRPr="00034A98">
        <w:t>ΕΙΔΙΚΟ ΕΠΕΝΔΥΤΙΚΟ ΠΡΟΓΡΑΜΜΑ ΤΟΠΙΚΗΣ ΑΥΤΟΔΙΟΙΚΗΣΗΣ</w:t>
      </w:r>
    </w:p>
    <w:p w:rsidR="00443A32" w:rsidRPr="00034A98" w:rsidRDefault="00443A32" w:rsidP="00443A32">
      <w:r w:rsidRPr="00034A98">
        <w:t xml:space="preserve">Η αντιμετώπιση της ύφεσης και η δημιουργία προοπτικών για το ξεπέρασμά της, απαιτούν άμεσα και </w:t>
      </w:r>
      <w:proofErr w:type="spellStart"/>
      <w:r w:rsidRPr="00034A98">
        <w:t>στοχευμένα</w:t>
      </w:r>
      <w:proofErr w:type="spellEnd"/>
      <w:r w:rsidRPr="00034A98">
        <w:t xml:space="preserve"> μέτρα, που θα υποστηρίζουν τόπους και κοινωνικές ομάδες «υψηλού κινδύνου». Για να είναι αποτελεσματική η υποστήριξη αυτή θα πρέπει: α) να μην είναι επιδοματική αλλά να δίνει προοπτικές ανάπτυξης, β) να μην είναι ευκαιριακή και βραχυχρόνια αλλά για όσο διαρκέσει η ύφεση και όσο χρειαστεί η ανάκαμψη της τοπικής οικονομίας- κοινωνίας, γ) να δημιουργεί πολλαπλασιαστικά φαινόμενα ώστε να λειτουργήσει ως αναπτυξιακό εφαλτήριο, δ) να προβάλει και αξιοποιήσει τα τοπικά συγκριτικά πλεονεκτήματα και ε)</w:t>
      </w:r>
      <w:r>
        <w:t xml:space="preserve"> </w:t>
      </w:r>
      <w:r w:rsidRPr="00034A98">
        <w:t xml:space="preserve">να έχει μορφή ολοκληρωμένης πρότασης που θα καλύπτει όλους τους τομείς και θα βελτιώνει την ποιότητα ζωής των πολιτών. </w:t>
      </w:r>
    </w:p>
    <w:p w:rsidR="00443A32" w:rsidRPr="00034A98" w:rsidRDefault="00443A32" w:rsidP="00443A32">
      <w:r w:rsidRPr="00034A98">
        <w:t xml:space="preserve">Είναι φανερό ότι με βάση τα παραπάνω χαρακτηριστικά η εξουσία που θα μπορούσε να αναλάβει αποτελεσματικότερα τις παραπάνω παρεμβάσεις είναι η πλησιέστερη στον πολίτη. Επιπρόσθετα η ΤΑ είναι αυτή που γνωρίζει καλύτερα από οποιονδήποτε άλλον τα τοπικά προβλήματα και ιδιαιτερότητες αλλά και τα τοπικά συγκριτικά πλεονεκτήματα και προοπτικές. </w:t>
      </w:r>
    </w:p>
    <w:p w:rsidR="00443A32" w:rsidRPr="00034A98" w:rsidRDefault="00443A32" w:rsidP="00443A32">
      <w:r w:rsidRPr="00034A98">
        <w:t xml:space="preserve">Η πολιτική που ακολουθήθηκε μέχρι σήμερα στράφηκε στην ακριβώς αντίθετη κατεύθυνση. Η ΤΑ αποψιλώθηκε από πόρους, η ΣΑΤΑ </w:t>
      </w:r>
      <w:r w:rsidR="00C05869">
        <w:t xml:space="preserve">έχει μειωθεί σε πρωτοφανή επίπεδα με αποτέλεσμα την αδυναμία πραγματοποίησης νέων έργων και την </w:t>
      </w:r>
      <w:r w:rsidRPr="00034A98">
        <w:t xml:space="preserve"> απαξίωση των τοπικών τεχνικών και κοινωνικών, υποδομών. </w:t>
      </w:r>
    </w:p>
    <w:p w:rsidR="00443A32" w:rsidRPr="00034A98" w:rsidRDefault="00443A32" w:rsidP="00443A32">
      <w:r w:rsidRPr="00034A98">
        <w:t>Οι λύσεις και τα μέτρα που θα ληφθούν θα πρέπει να είναι άμεσα, χωρίς γραφειοκρατικές διαδικασίες και χρονοτριβές και κυρίως να τα απολαύσουν οι πληγέντες. Για να επιτευχθεί η επιθυμητή αποτελεσματικότητα θα πρέπει να υπάρξει ευελιξία και γνώση τόσο του αντικειμένου όσο και των τοπικών ιδιαιτεροτήτων. Οι λύσεις και τα μέτρα δε θα πρέπει να στοχεύουν απλώς στη βραχυχρόνια</w:t>
      </w:r>
      <w:r>
        <w:t xml:space="preserve"> </w:t>
      </w:r>
      <w:r w:rsidRPr="00034A98">
        <w:t>ανακούφιση των πληγέντων αλλά να συνδεθούν με τέτοιο τρόπο με την τοπική ανάπτυξη ώστε να έχουν διάρκεια και κυρίως να παράγουν πολλαπλασιαστικά φαινόμενα που μπορούν να αποβούν εφαλτήριο για το ξεπέρασμα της ύφεσης και τη δημιουργία των προϋποθέσεων για βιώσιμη τοπική ανάπτυξη.</w:t>
      </w:r>
      <w:r>
        <w:t xml:space="preserve"> </w:t>
      </w:r>
    </w:p>
    <w:p w:rsidR="001D596F" w:rsidRDefault="00443A32" w:rsidP="00443A32">
      <w:r w:rsidRPr="00034A98">
        <w:t xml:space="preserve">Για τους λόγους αυτούς προτείνουμε τη δημιουργία ενός επενδυτικού αναπτυξιακού προγράμματος της ΤΑ, στα πρότυπα του ΘΗΣΕΑ. </w:t>
      </w:r>
    </w:p>
    <w:p w:rsidR="009801E6" w:rsidRPr="005E3CD8" w:rsidRDefault="009801E6" w:rsidP="008C432A">
      <w:pPr>
        <w:pStyle w:val="2"/>
        <w:ind w:left="680" w:hanging="680"/>
      </w:pPr>
      <w:bookmarkStart w:id="10" w:name="_Toc466830023"/>
      <w:r>
        <w:lastRenderedPageBreak/>
        <w:t>Κατανομή των Εσόδων από ΕΝ.Φ.Ι.Α.</w:t>
      </w:r>
      <w:bookmarkEnd w:id="10"/>
      <w:r>
        <w:t xml:space="preserve"> </w:t>
      </w:r>
    </w:p>
    <w:p w:rsidR="009801E6" w:rsidRPr="004B70B8" w:rsidRDefault="009801E6" w:rsidP="009801E6">
      <w:r w:rsidRPr="00A72270">
        <w:t xml:space="preserve">Με βάση τα </w:t>
      </w:r>
      <w:r>
        <w:t xml:space="preserve">προϋπολογισθέντα έσοδα από </w:t>
      </w:r>
      <w:bookmarkStart w:id="11" w:name="OLE_LINK3"/>
      <w:bookmarkStart w:id="12" w:name="OLE_LINK4"/>
      <w:r w:rsidRPr="0059603F">
        <w:t>ΕΝ.Φ.Ι.Α.</w:t>
      </w:r>
      <w:r>
        <w:t xml:space="preserve"> </w:t>
      </w:r>
      <w:bookmarkEnd w:id="11"/>
      <w:bookmarkEnd w:id="12"/>
      <w:r>
        <w:t>για το 2016, η κατανομή των εσόδων ανά είδος ακίνητης περιουσίας έχει ως εξής (</w:t>
      </w:r>
      <w:fldSimple w:instr=" REF _Ref466523716 \h  \* MERGEFORMAT ">
        <w:r w:rsidRPr="00577288">
          <w:rPr>
            <w:b/>
          </w:rPr>
          <w:t xml:space="preserve">Διάγραμμα </w:t>
        </w:r>
        <w:r w:rsidR="003D4620">
          <w:rPr>
            <w:b/>
            <w:noProof/>
          </w:rPr>
          <w:t>I</w:t>
        </w:r>
        <w:r w:rsidRPr="00577288">
          <w:rPr>
            <w:b/>
          </w:rPr>
          <w:t>.5</w:t>
        </w:r>
      </w:fldSimple>
      <w:r>
        <w:t xml:space="preserve">). Τη μεγαλύτερη συμμετοχή έχουν οι κατοικίες και τα διαμερίσματα με ποσοστό 46,5%. Ακολουθούν οι μονοκατοικίες με ποσοστό 20,0%, τα αγροτεμάχια (11,4%) και τα οικόπεδα (3,7%). Τα λοιπά είδη ακινήτων (βιομηχανικά/βιοτεχνικά ακίνητα, αποθήκες &amp; κτηνοτροφικά κτίρια, τουριστικές &amp; νοσηλευτικές εγκαταστάσεις, και λοιπά ακίνητα αποδίδουν μόλις το 4,5% του συνολικού </w:t>
      </w:r>
      <w:r w:rsidRPr="0059603F">
        <w:t>ΕΝ.Φ.Ι.Α.</w:t>
      </w:r>
    </w:p>
    <w:p w:rsidR="009801E6" w:rsidRPr="004B70B8" w:rsidRDefault="009801E6" w:rsidP="009801E6"/>
    <w:p w:rsidR="009801E6" w:rsidRDefault="009801E6" w:rsidP="009801E6">
      <w:pPr>
        <w:pStyle w:val="a6"/>
      </w:pPr>
      <w:bookmarkStart w:id="13" w:name="_Ref466523716"/>
      <w:bookmarkStart w:id="14" w:name="_Toc466830061"/>
      <w:r w:rsidRPr="00423AEA">
        <w:t xml:space="preserve">Διάγραμμα </w:t>
      </w:r>
      <w:r w:rsidR="006C74DD">
        <w:fldChar w:fldCharType="begin"/>
      </w:r>
      <w:r w:rsidR="006D64A9">
        <w:instrText xml:space="preserve"> STYLEREF 1 \s </w:instrText>
      </w:r>
      <w:r w:rsidR="006C74DD">
        <w:fldChar w:fldCharType="separate"/>
      </w:r>
      <w:r>
        <w:rPr>
          <w:noProof/>
        </w:rPr>
        <w:t>I</w:t>
      </w:r>
      <w:r w:rsidR="006C74DD">
        <w:rPr>
          <w:noProof/>
        </w:rPr>
        <w:fldChar w:fldCharType="end"/>
      </w:r>
      <w:r>
        <w:t>.</w:t>
      </w:r>
      <w:r w:rsidR="006C74DD">
        <w:fldChar w:fldCharType="begin"/>
      </w:r>
      <w:r w:rsidR="006D64A9">
        <w:instrText xml:space="preserve"> SEQ Διάγραμμα \* ARABIC \s 1 </w:instrText>
      </w:r>
      <w:r w:rsidR="006C74DD">
        <w:fldChar w:fldCharType="separate"/>
      </w:r>
      <w:r>
        <w:rPr>
          <w:noProof/>
        </w:rPr>
        <w:t>5</w:t>
      </w:r>
      <w:r w:rsidR="006C74DD">
        <w:rPr>
          <w:noProof/>
        </w:rPr>
        <w:fldChar w:fldCharType="end"/>
      </w:r>
      <w:bookmarkEnd w:id="13"/>
      <w:r>
        <w:t>:</w:t>
      </w:r>
      <w:r>
        <w:tab/>
      </w:r>
      <w:r w:rsidRPr="00577C5B">
        <w:rPr>
          <w:b w:val="0"/>
        </w:rPr>
        <w:t>Ποσοστιαία Κατανομή Εσόδων ΕΝΦΙΑ ανά Κατηγορία Ακινήτων (Σύνολο Χώρας)</w:t>
      </w:r>
      <w:bookmarkEnd w:id="14"/>
      <w:r w:rsidRPr="00423AEA">
        <w:rPr>
          <w:noProof/>
          <w:lang w:eastAsia="el-GR"/>
        </w:rPr>
        <w:t xml:space="preserve"> </w:t>
      </w:r>
    </w:p>
    <w:p w:rsidR="009801E6" w:rsidRDefault="009801E6" w:rsidP="009801E6">
      <w:pPr>
        <w:pStyle w:val="a6"/>
      </w:pPr>
      <w:r w:rsidRPr="008D4CE9">
        <w:rPr>
          <w:noProof/>
          <w:lang w:eastAsia="el-GR"/>
        </w:rPr>
        <w:drawing>
          <wp:inline distT="0" distB="0" distL="0" distR="0">
            <wp:extent cx="5374800" cy="4525200"/>
            <wp:effectExtent l="0" t="0" r="0" b="8890"/>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74800" cy="4525200"/>
                    </a:xfrm>
                    <a:prstGeom prst="rect">
                      <a:avLst/>
                    </a:prstGeom>
                    <a:noFill/>
                    <a:ln>
                      <a:noFill/>
                    </a:ln>
                  </pic:spPr>
                </pic:pic>
              </a:graphicData>
            </a:graphic>
          </wp:inline>
        </w:drawing>
      </w:r>
    </w:p>
    <w:p w:rsidR="009801E6" w:rsidRPr="00837BC7" w:rsidRDefault="009801E6" w:rsidP="009801E6">
      <w:r w:rsidRPr="004B0940">
        <w:rPr>
          <w:rStyle w:val="ad"/>
          <w:rFonts w:ascii="Tahoma" w:hAnsi="Tahoma" w:cs="Tahoma"/>
        </w:rPr>
        <w:t>Υπ</w:t>
      </w:r>
      <w:r w:rsidRPr="004B0940">
        <w:t>άρχει όμως μεγάλη διαφοροποίηση της σύνθεσης του ΕΝ.Φ.Ι.Α.</w:t>
      </w:r>
      <w:r w:rsidRPr="003D4620">
        <w:t xml:space="preserve"> μεταξ</w:t>
      </w:r>
      <w:r w:rsidRPr="004B0940">
        <w:t>ύ των Δήμων</w:t>
      </w:r>
      <w:r w:rsidRPr="00D52FE0">
        <w:t xml:space="preserve">). </w:t>
      </w:r>
      <w:r>
        <w:t>Κατά φθίνουσα τάξη μεγέθους το ποσοστού συμμετοχής των κατοικιών και διαμερισμάτων, παρατηρ</w:t>
      </w:r>
      <w:r w:rsidR="003D4620">
        <w:t xml:space="preserve">είται </w:t>
      </w:r>
      <w:r>
        <w:t>ότι στους αμιγώς οικιστικού χαρακτήρα Δήμους, ο ΕΝ.Φ.ΙΑ. από τις κατοικίες και διαμερίσματα συμμετέχει με ποσοστό που φτάνει το 90% (Δήμος Ζωγράφου).</w:t>
      </w:r>
    </w:p>
    <w:p w:rsidR="009801E6" w:rsidRDefault="009801E6" w:rsidP="009801E6">
      <w:r>
        <w:lastRenderedPageBreak/>
        <w:t>Όσο η συμμετοχή της κατοικίας μειώνεται</w:t>
      </w:r>
      <w:r w:rsidRPr="000A00F0">
        <w:t xml:space="preserve"> </w:t>
      </w:r>
      <w:r>
        <w:t xml:space="preserve">στα έσοδα του ΕΝΦΙΑ, τόσο αυξάνει η συμμετοχή από τις μονοκατοικίες και τα αγροτεμάχια. </w:t>
      </w:r>
      <w:r w:rsidR="003D4620">
        <w:t>Σ</w:t>
      </w:r>
      <w:r>
        <w:t>ε πολλούς Δήμους τα έσοδα του ΕΝΦΙΑ από τα αγροτεμάχια ξεπερνούν το 50%.</w:t>
      </w:r>
    </w:p>
    <w:p w:rsidR="009801E6" w:rsidRDefault="009801E6" w:rsidP="009801E6">
      <w:r>
        <w:t xml:space="preserve">Ας εξετάσουμε τι θα συμβεί εάν τα έσοδα από τον ΕΝΦΙΑ αντικαταστήσουν τους ΚΑΠ. </w:t>
      </w:r>
      <w:r w:rsidR="003D4620">
        <w:t xml:space="preserve">Σε Διάγραμμα της μελέτης παρουσιάζεται ο </w:t>
      </w:r>
      <w:r>
        <w:t>δείκτη</w:t>
      </w:r>
      <w:r w:rsidR="003D4620">
        <w:t>ς</w:t>
      </w:r>
      <w:r>
        <w:t xml:space="preserve"> Έσοδα ΕΝΦΙΑ/Έσοδα ΚΑΠ (%) ανά Δήμο σε φθίνουσα τάξη μεγέθους. Οι ανισότητες που υπάρχουν μεταξύ των Δήμων είναι εντυπωσιακές. Τα έσοδα του Δήμου Φιλοθέης–Ψυχικού είναι υπέρ-πενταπλάσια από τους ΚΑΠ (+431%). Αυτό είναι αναμενόμενο αφού ο Δήμος </w:t>
      </w:r>
      <w:r w:rsidRPr="00E55643">
        <w:t>Φιλοθέης – Ψυχικού συμμετέχει στην κατανομή των πιστώσεων από τους Κεντρικούς Αυτοτελείς Πόρους του έτους 201</w:t>
      </w:r>
      <w:r>
        <w:t>5</w:t>
      </w:r>
      <w:r w:rsidRPr="00E55643">
        <w:t xml:space="preserve"> των Δήμων για κάλυψη έργων και επενδυτικών δραστηριοτήτων, με ποσοστό μόλις 0,1</w:t>
      </w:r>
      <w:r>
        <w:t>5</w:t>
      </w:r>
      <w:r w:rsidRPr="00E55643">
        <w:t xml:space="preserve">% (ένα </w:t>
      </w:r>
      <w:r>
        <w:t xml:space="preserve">+ μισό </w:t>
      </w:r>
      <w:r w:rsidRPr="00E55643">
        <w:t>τις χιλίοις), όταν τα έσοδα από τον ΕΝ.Φ.Ι.Α. είναι σαφώς πολλαπλάσια (</w:t>
      </w:r>
      <w:r w:rsidRPr="00511DD7">
        <w:t>0,88%</w:t>
      </w:r>
      <w:r>
        <w:t xml:space="preserve"> </w:t>
      </w:r>
      <w:r w:rsidRPr="00E55643">
        <w:t>του συνόλου) λόγω των υψηλών αντικειμενικών αξιών των ακινήτων της περιοχής</w:t>
      </w:r>
      <w:r>
        <w:t xml:space="preserve">. </w:t>
      </w:r>
    </w:p>
    <w:p w:rsidR="009801E6" w:rsidRDefault="009801E6" w:rsidP="009801E6">
      <w:r>
        <w:t>Εάν τα έσοδα υπολογιστούν ανά κάτοικο τότε η ανισότητα είναι περιορίζεται αφού τα έσοδα από ΚΑΠ ανέρχονται σε € 180/κάτοικο και από ΕΝΦΙΑ € 777/κάτοικο, δηλαδή τετραπλάσια, πάντα με την προϋπόθεση ότι κάθε Δήμος θα εισπράξει το ΕΝΦΙΑ των δημοτών του. Αντίθετα, στον Δήμο Αγαθονησίου του Νομού Καλύμνου ο λόγος ΕΝΦΙΑ/ΚΑΠ είναι μόλις 12%, δηλαδή ο ΕΝΦΙΑ είναι σχεδόν το ένα όγδοο των ΚΑΠ, και σε απόλυτους όρους ανά κάτοικο, τα έσοδα από ΚΑΠ ανέρχονται σε € 1.517 ανά κάτοικο όταν τα έσοδα από ΕΝΦΙΑ είναι μόνο € 179/κάτοικο.</w:t>
      </w:r>
    </w:p>
    <w:p w:rsidR="00037D96" w:rsidRDefault="00037D96" w:rsidP="00037D96">
      <w:r>
        <w:t xml:space="preserve">Η παραπάνω ανάλυση καταδεικνύει πόσο δύσκολο το εγχείρημα της αντικατάστασης των Κεντρικών Αυτοτελών Πόρων από τον Ενιαίο Φόρο Ιδιοκτησίας Ακινήτων. Μπορεί ως σύνολο τα έσοδα να είναι περίπου τα ίδια, αλλά σε επίπεδο Δήμων η αντικατάσταση των ΚΑΠ από τον ΕΝΦΙΑ θα προκαλέσει μεγάλες ανισότητες. </w:t>
      </w:r>
    </w:p>
    <w:p w:rsidR="009801E6" w:rsidRPr="00E55643" w:rsidRDefault="009801E6" w:rsidP="009801E6">
      <w:r>
        <w:t>Αυτό</w:t>
      </w:r>
      <w:r w:rsidRPr="00E55643">
        <w:t xml:space="preserve"> σημαίνει ότι η κατανομή των εσόδων από το φόρο στην περιουσία </w:t>
      </w:r>
      <w:r>
        <w:t xml:space="preserve">θα </w:t>
      </w:r>
      <w:r w:rsidRPr="00E55643">
        <w:t>πρέπει να βασίζεται σε ένα μικτό σύστημα που θα λαμβάνει υπόψη τόσο τα κοινωνικοοικονομικά χαρακτηριστικά των Δήμων όσο και τη συνεισφορά τους στο σύνολο των εσόδων.</w:t>
      </w:r>
    </w:p>
    <w:p w:rsidR="009801E6" w:rsidRDefault="009801E6" w:rsidP="009801E6">
      <w:r w:rsidRPr="00E55643">
        <w:t>Η αξία των ακινήτων εξαρτάται σε μεγάλο βαθμό από το φυσικό περιβάλλον, τις υποδομές και την οικονομική δραστηριότητα της τοπικής κοινωνίας που προσδιορίζει και το εισόδημα των κατοίκων. Αυτά, όμως, με τη σειρά τους είναι αποτέλεσμα των στρατηγικών ανάπτυξης που ακολούθησαν οι Δημοτικές Αρχές</w:t>
      </w:r>
      <w:r>
        <w:t>, που</w:t>
      </w:r>
      <w:r w:rsidRPr="00E55643">
        <w:t xml:space="preserve"> σημαίνει ότι τα κριτήρια κατανομής των πόρων πρέπει να λαμβάνουν υπόψη την αναπτυξιακή πολιτική των τοπικών αρχών και να περιλαμβάνουν στοιχεία επιβράβευσης.</w:t>
      </w:r>
    </w:p>
    <w:p w:rsidR="009801E6" w:rsidRPr="00D72A59" w:rsidRDefault="009801E6" w:rsidP="009801E6">
      <w:r w:rsidRPr="00D72A59">
        <w:t>Τα παραπάνω θέτουν τη βάση της διερεύνησης του τρόπου της κατανομής των πόρων στην περίπτωση που τα έσοδα από το φόρο ακίνητης περιουσίας αντικαταστήσουν τους Κεντρικούς Αυτοτελείς Πόρους.</w:t>
      </w:r>
    </w:p>
    <w:p w:rsidR="009801E6" w:rsidRPr="005E3CD8" w:rsidRDefault="009801E6" w:rsidP="008C432A">
      <w:pPr>
        <w:pStyle w:val="2"/>
        <w:ind w:left="680" w:hanging="680"/>
      </w:pPr>
      <w:bookmarkStart w:id="15" w:name="_Toc466830026"/>
      <w:r>
        <w:lastRenderedPageBreak/>
        <w:t>Κατανομή των Εσόδων από ΚΑΠ</w:t>
      </w:r>
      <w:bookmarkEnd w:id="15"/>
    </w:p>
    <w:p w:rsidR="009801E6" w:rsidRPr="00E55643" w:rsidRDefault="009801E6" w:rsidP="009801E6">
      <w:r w:rsidRPr="00E55643">
        <w:t>Σύμφωνα με τον Ν. 3852/10, άρθρο 259, παρ. 4, οι Κεντρικοί Αυτοτελείς Πόροι προβλέπεται να κατανέμονται στις Περιφέρειες με βάση τα δημογραφικά, γεωμορφολογικά, διοικητικά, οικονομικά, κοινωνικά, περιβαλλοντικά και πολιτιστικά κριτήρια, και παράλληλα να λαμβάνεται μέριμνα για την άμβλυνση των περιφερειακών ανισοτήτων.</w:t>
      </w:r>
    </w:p>
    <w:p w:rsidR="009801E6" w:rsidRPr="00E55643" w:rsidRDefault="009801E6" w:rsidP="009801E6">
      <w:r w:rsidRPr="00E55643">
        <w:t>Επομένως, σύμφωνα με την επιταγή του νόμου τα κριτήρια για την κατανομή των ΚΑΠ προτείνεται να είναι τα εξής:</w:t>
      </w:r>
    </w:p>
    <w:p w:rsidR="009801E6" w:rsidRPr="00E55643" w:rsidRDefault="009801E6" w:rsidP="009801E6">
      <w:pPr>
        <w:pStyle w:val="a9"/>
        <w:numPr>
          <w:ilvl w:val="0"/>
          <w:numId w:val="16"/>
        </w:numPr>
      </w:pPr>
      <w:r w:rsidRPr="00E55643">
        <w:t>Πληθυσμιακά (όπως ο αριθμός των δημοτών, ο αριθμός των κατοίκων, η πληθυσμιακή πυκνότητα, η κατανομή των κατοικιών).</w:t>
      </w:r>
    </w:p>
    <w:p w:rsidR="009801E6" w:rsidRPr="00E55643" w:rsidRDefault="009801E6" w:rsidP="009801E6">
      <w:pPr>
        <w:pStyle w:val="a9"/>
        <w:numPr>
          <w:ilvl w:val="0"/>
          <w:numId w:val="16"/>
        </w:numPr>
      </w:pPr>
      <w:r w:rsidRPr="00E55643">
        <w:t>Κοινωνικά (όπως το μέσο μέγεθος νοικοκυριού, οι μορφωτικοί δείκτες, το ποσοστό αλλοδαπών).</w:t>
      </w:r>
    </w:p>
    <w:p w:rsidR="009801E6" w:rsidRPr="00E55643" w:rsidRDefault="009801E6" w:rsidP="009801E6">
      <w:pPr>
        <w:pStyle w:val="a9"/>
        <w:numPr>
          <w:ilvl w:val="0"/>
          <w:numId w:val="16"/>
        </w:numPr>
      </w:pPr>
      <w:r w:rsidRPr="00E55643">
        <w:t>Οικονομικά (όπως η απασχόληση, η δομή της απασχόλησης, η εργασιακή κινητικότητα, το κατά κεφαλή εισόδημα).</w:t>
      </w:r>
    </w:p>
    <w:p w:rsidR="009801E6" w:rsidRPr="00E55643" w:rsidRDefault="009801E6" w:rsidP="009801E6">
      <w:pPr>
        <w:pStyle w:val="a9"/>
        <w:numPr>
          <w:ilvl w:val="0"/>
          <w:numId w:val="16"/>
        </w:numPr>
      </w:pPr>
      <w:r w:rsidRPr="00E55643">
        <w:t>Γεωγραφικά (όπως το σχήμα, η προσβασιμότητα, τα δίκτυα υποδομών).</w:t>
      </w:r>
    </w:p>
    <w:p w:rsidR="009801E6" w:rsidRPr="00E55643" w:rsidRDefault="009801E6" w:rsidP="009801E6">
      <w:pPr>
        <w:pStyle w:val="a9"/>
        <w:numPr>
          <w:ilvl w:val="0"/>
          <w:numId w:val="16"/>
        </w:numPr>
      </w:pPr>
      <w:r w:rsidRPr="00E55643">
        <w:t xml:space="preserve">Αναπτυξιακά (όπως η δομή της τοπικής οικονομικής δραστηριότητας και γενικότερα της τοπικής ανάπτυξης, η ύπαρξη εκπαιδευτικών και ερευνητικών φορέων, η συμμετοχή σε Κοινοτικά και Εθνικά Προγράμματα). </w:t>
      </w:r>
    </w:p>
    <w:p w:rsidR="009801E6" w:rsidRPr="00E55643" w:rsidRDefault="009801E6" w:rsidP="009801E6">
      <w:pPr>
        <w:pStyle w:val="a9"/>
        <w:numPr>
          <w:ilvl w:val="0"/>
          <w:numId w:val="16"/>
        </w:numPr>
      </w:pPr>
      <w:r w:rsidRPr="00E55643">
        <w:t>Χωροταξικά κριτήρια, σύμφωνα με τα οποία θα λαμβάνονται υπόψη η γεωγραφική</w:t>
      </w:r>
      <w:r>
        <w:t>/</w:t>
      </w:r>
      <w:r w:rsidRPr="00E55643">
        <w:t>χωρική ολοκλήρωση των διαφόρων κοινωνικών, διοικητικών και οικονομικών λειτουργιών, η γεωγραφική κινητικότητα σε ημερήσια βάση σύμφωνα με την απασχόληση, και</w:t>
      </w:r>
      <w:r>
        <w:t xml:space="preserve"> </w:t>
      </w:r>
      <w:r w:rsidRPr="00E55643">
        <w:t>η ταυτότητα του τόπου (</w:t>
      </w:r>
      <w:proofErr w:type="spellStart"/>
      <w:r w:rsidRPr="00E55643">
        <w:t>place</w:t>
      </w:r>
      <w:proofErr w:type="spellEnd"/>
      <w:r w:rsidRPr="00E55643">
        <w:t xml:space="preserve"> </w:t>
      </w:r>
      <w:proofErr w:type="spellStart"/>
      <w:r w:rsidRPr="00E55643">
        <w:t>identity</w:t>
      </w:r>
      <w:proofErr w:type="spellEnd"/>
      <w:r w:rsidRPr="00E55643">
        <w:t>) που χαρακτηρίζει την τοπική κοινωνία.</w:t>
      </w:r>
    </w:p>
    <w:p w:rsidR="009801E6" w:rsidRPr="00E55643" w:rsidRDefault="009801E6" w:rsidP="009801E6">
      <w:r w:rsidRPr="00E55643">
        <w:t>Τα παραπάνω κριτήρια είναι λογικό να αποτελούν τη βάση της κατανομής των Κ.Α.Π. αφού λαμβάνουν υπόψη όλα τα κοινωνικοοικονομικά χαρακτηριστικά των τοπικών οικονομιών</w:t>
      </w:r>
      <w:r>
        <w:t>/</w:t>
      </w:r>
      <w:r w:rsidRPr="00E55643">
        <w:t>κοινωνιών, και με τη σωστή στάθμιση μπορούν να οδηγήσουν σε ορθολογική κατανομή των πόρων.</w:t>
      </w:r>
    </w:p>
    <w:p w:rsidR="009801E6" w:rsidRDefault="009801E6" w:rsidP="009801E6">
      <w:r w:rsidRPr="00E55643">
        <w:t xml:space="preserve">Όμως, η αντικατάσταση των Κ.Α.Π. από τα έσοδα του ΕΝ.Φ.Ι.Α. </w:t>
      </w:r>
      <w:r>
        <w:t>θ</w:t>
      </w:r>
      <w:r w:rsidRPr="00E55643">
        <w:t>α οδηγήσει</w:t>
      </w:r>
      <w:r>
        <w:t>, όπως προκύπτει από την προηγηθείσα ανάλυση,</w:t>
      </w:r>
      <w:r w:rsidRPr="00E55643">
        <w:t xml:space="preserve"> σε μη ορθολογική κατανομή εάν τεθεί θέμα ανταποδοτικότητας με βάση τα τοπικά έσοδα από την φορολογία της ιδιοκτησίας. </w:t>
      </w:r>
    </w:p>
    <w:p w:rsidR="009801E6" w:rsidRDefault="009801E6" w:rsidP="009801E6">
      <w:r>
        <w:t>Αυτό</w:t>
      </w:r>
      <w:r w:rsidRPr="00E55643">
        <w:t xml:space="preserve"> σημαίνει ότι η κατανομή των εσόδων από το φόρο στην περιουσία πρέπει να βασίζεται σε ένα μικτό σύστημα που θα λαμβάνει υπόψη τόσο τα κοινωνικοοικονομικά χαρακτηριστικά των Δήμων όσο και τη συνεισφορά τους στο σύνολο των εσόδων.</w:t>
      </w:r>
    </w:p>
    <w:p w:rsidR="00037D96" w:rsidRDefault="00037D96" w:rsidP="009801E6"/>
    <w:p w:rsidR="00037D96" w:rsidRDefault="00037D96" w:rsidP="009801E6"/>
    <w:p w:rsidR="00037D96" w:rsidRDefault="00037D96" w:rsidP="009801E6"/>
    <w:p w:rsidR="00037D96" w:rsidRDefault="00037D96" w:rsidP="00037D96">
      <w:pPr>
        <w:pStyle w:val="2"/>
        <w:ind w:left="680" w:hanging="680"/>
      </w:pPr>
      <w:bookmarkStart w:id="16" w:name="_Toc466830035"/>
      <w:r w:rsidRPr="00037D96">
        <w:lastRenderedPageBreak/>
        <w:t>ΣΥ</w:t>
      </w:r>
      <w:bookmarkEnd w:id="16"/>
      <w:r>
        <w:t>ΝΟΨΗ</w:t>
      </w:r>
    </w:p>
    <w:p w:rsidR="00037D96" w:rsidRPr="005137AD" w:rsidRDefault="00037D96" w:rsidP="00037D96">
      <w:r w:rsidRPr="005137AD">
        <w:t xml:space="preserve">Αυτό που απαιτείται είναι η μεγαλύτερη συμμετοχή της αυτοδιοίκησης στα δημόσια έσοδα και τις δημόσιες δαπάνες </w:t>
      </w:r>
    </w:p>
    <w:p w:rsidR="00037D96" w:rsidRPr="005137AD" w:rsidRDefault="00037D96" w:rsidP="00037D96">
      <w:r w:rsidRPr="005137AD">
        <w:t xml:space="preserve">Η συμμετοχή θα πρέπει να καθορίζεται με βάση τις ασκούμενες αρμοδιότητες </w:t>
      </w:r>
    </w:p>
    <w:p w:rsidR="00037D96" w:rsidRPr="005137AD" w:rsidRDefault="00037D96" w:rsidP="00037D96">
      <w:r w:rsidRPr="005137AD">
        <w:t xml:space="preserve">Το σύστημα διοικητικής οργάνωσης πρέπει να οδηγήσει σε μεγαλύτερη αποκέντρωση </w:t>
      </w:r>
    </w:p>
    <w:p w:rsidR="00037D96" w:rsidRPr="005137AD" w:rsidRDefault="00037D96" w:rsidP="00037D96">
      <w:r w:rsidRPr="005137AD">
        <w:t xml:space="preserve">Η συμμετοχή της αυτοδιοίκησης στα φορολογικά έσοδα μπορεί να γίνει με βάση το σύστημα </w:t>
      </w:r>
      <w:r w:rsidRPr="005137AD">
        <w:rPr>
          <w:lang w:val="en-US"/>
        </w:rPr>
        <w:t>tax</w:t>
      </w:r>
      <w:r w:rsidRPr="005137AD">
        <w:t xml:space="preserve"> </w:t>
      </w:r>
      <w:r w:rsidRPr="005137AD">
        <w:rPr>
          <w:lang w:val="en-US"/>
        </w:rPr>
        <w:t>sharing</w:t>
      </w:r>
      <w:r w:rsidRPr="005137AD">
        <w:t xml:space="preserve"> </w:t>
      </w:r>
    </w:p>
    <w:p w:rsidR="00037D96" w:rsidRPr="005137AD" w:rsidRDefault="00037D96" w:rsidP="00037D96">
      <w:r w:rsidRPr="005137AD">
        <w:t xml:space="preserve">Πρέπει να δοθεί προτεραιότητα στην ενίσχυση των δημοσίων επενδύσεων μέσω της χρηματοδότησης ενός αναπτυξιακού προγράμματος της τοπικής αυτοδιοίκησης </w:t>
      </w:r>
    </w:p>
    <w:p w:rsidR="00037D96" w:rsidRPr="005137AD" w:rsidRDefault="00037D96" w:rsidP="00037D96">
      <w:r w:rsidRPr="005137AD">
        <w:t xml:space="preserve">Η πολιτική θα μπορούσε να εξειδικεύεται κατά κατηγορία δήμου </w:t>
      </w:r>
    </w:p>
    <w:p w:rsidR="00037D96" w:rsidRPr="005137AD" w:rsidRDefault="00037D96" w:rsidP="00037D96">
      <w:r w:rsidRPr="005137AD">
        <w:t xml:space="preserve">Πρέπει να υπάρχει πρόνοια για μηχανισμό αναδιανομής που θα ενισχύει τους μικρούς, νησιωτικού και ορεινούς δήμους της χώρας </w:t>
      </w:r>
    </w:p>
    <w:p w:rsidR="00037D96" w:rsidRPr="00E55643" w:rsidRDefault="00037D96" w:rsidP="009801E6"/>
    <w:sectPr w:rsidR="00037D96" w:rsidRPr="00E55643" w:rsidSect="00915E2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584" w:rsidRDefault="007C5584" w:rsidP="00443A32">
      <w:pPr>
        <w:spacing w:after="0" w:line="240" w:lineRule="auto"/>
      </w:pPr>
      <w:r>
        <w:separator/>
      </w:r>
    </w:p>
  </w:endnote>
  <w:endnote w:type="continuationSeparator" w:id="0">
    <w:p w:rsidR="007C5584" w:rsidRDefault="007C5584" w:rsidP="00443A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903272"/>
      <w:docPartObj>
        <w:docPartGallery w:val="Page Numbers (Bottom of Page)"/>
        <w:docPartUnique/>
      </w:docPartObj>
    </w:sdtPr>
    <w:sdtContent>
      <w:p w:rsidR="00CD4FCC" w:rsidRDefault="006C74DD" w:rsidP="000F4F84">
        <w:pPr>
          <w:pStyle w:val="a4"/>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584" w:rsidRDefault="007C5584" w:rsidP="00443A32">
      <w:pPr>
        <w:spacing w:after="0" w:line="240" w:lineRule="auto"/>
      </w:pPr>
      <w:r>
        <w:separator/>
      </w:r>
    </w:p>
  </w:footnote>
  <w:footnote w:type="continuationSeparator" w:id="0">
    <w:p w:rsidR="007C5584" w:rsidRDefault="007C5584" w:rsidP="00443A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2562"/>
    <w:multiLevelType w:val="hybridMultilevel"/>
    <w:tmpl w:val="02BC5234"/>
    <w:lvl w:ilvl="0" w:tplc="0E6EDE62">
      <w:start w:val="1"/>
      <w:numFmt w:val="bullet"/>
      <w:pStyle w:val="bullet"/>
      <w:lvlText w:val=""/>
      <w:lvlJc w:val="left"/>
      <w:pPr>
        <w:ind w:left="1287" w:hanging="360"/>
      </w:pPr>
      <w:rPr>
        <w:rFonts w:ascii="Symbol" w:hAnsi="Symbol" w:hint="default"/>
      </w:rPr>
    </w:lvl>
    <w:lvl w:ilvl="1" w:tplc="04080003">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
    <w:nsid w:val="01717F91"/>
    <w:multiLevelType w:val="hybridMultilevel"/>
    <w:tmpl w:val="3F8C3FE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2397BEE"/>
    <w:multiLevelType w:val="multilevel"/>
    <w:tmpl w:val="80FA5AC2"/>
    <w:lvl w:ilvl="0">
      <w:start w:val="1"/>
      <w:numFmt w:val="upperRoman"/>
      <w:pStyle w:val="1"/>
      <w:lvlText w:val="%1."/>
      <w:lvlJc w:val="left"/>
      <w:pPr>
        <w:tabs>
          <w:tab w:val="num" w:pos="720"/>
        </w:tabs>
        <w:ind w:left="720" w:hanging="363"/>
      </w:pPr>
      <w:rPr>
        <w:rFonts w:hint="default"/>
      </w:rPr>
    </w:lvl>
    <w:lvl w:ilvl="1">
      <w:start w:val="1"/>
      <w:numFmt w:val="decimal"/>
      <w:pStyle w:val="2"/>
      <w:lvlText w:val="%1.%2."/>
      <w:lvlJc w:val="left"/>
      <w:pPr>
        <w:tabs>
          <w:tab w:val="num" w:pos="720"/>
        </w:tabs>
        <w:ind w:left="720" w:hanging="363"/>
      </w:pPr>
      <w:rPr>
        <w:rFonts w:hint="default"/>
      </w:rPr>
    </w:lvl>
    <w:lvl w:ilvl="2">
      <w:start w:val="1"/>
      <w:numFmt w:val="decimal"/>
      <w:pStyle w:val="3"/>
      <w:lvlText w:val="%1.%2.%3."/>
      <w:lvlJc w:val="left"/>
      <w:pPr>
        <w:tabs>
          <w:tab w:val="num" w:pos="720"/>
        </w:tabs>
        <w:ind w:left="720" w:hanging="363"/>
      </w:pPr>
      <w:rPr>
        <w:rFonts w:hint="default"/>
      </w:rPr>
    </w:lvl>
    <w:lvl w:ilvl="3">
      <w:start w:val="1"/>
      <w:numFmt w:val="decimal"/>
      <w:isLgl/>
      <w:lvlText w:val="%1.%2.%3.%4."/>
      <w:lvlJc w:val="left"/>
      <w:pPr>
        <w:tabs>
          <w:tab w:val="num" w:pos="720"/>
        </w:tabs>
        <w:ind w:left="720" w:hanging="363"/>
      </w:pPr>
      <w:rPr>
        <w:rFonts w:hint="default"/>
      </w:rPr>
    </w:lvl>
    <w:lvl w:ilvl="4">
      <w:start w:val="1"/>
      <w:numFmt w:val="decimal"/>
      <w:isLgl/>
      <w:lvlText w:val="%1.%2.%3.%4.%5."/>
      <w:lvlJc w:val="left"/>
      <w:pPr>
        <w:tabs>
          <w:tab w:val="num" w:pos="720"/>
        </w:tabs>
        <w:ind w:left="720" w:hanging="363"/>
      </w:pPr>
      <w:rPr>
        <w:rFonts w:hint="default"/>
      </w:rPr>
    </w:lvl>
    <w:lvl w:ilvl="5">
      <w:start w:val="1"/>
      <w:numFmt w:val="decimal"/>
      <w:isLgl/>
      <w:lvlText w:val="%1.%2.%3.%4.%5.%6."/>
      <w:lvlJc w:val="left"/>
      <w:pPr>
        <w:tabs>
          <w:tab w:val="num" w:pos="720"/>
        </w:tabs>
        <w:ind w:left="720" w:hanging="363"/>
      </w:pPr>
      <w:rPr>
        <w:rFonts w:hint="default"/>
      </w:rPr>
    </w:lvl>
    <w:lvl w:ilvl="6">
      <w:start w:val="1"/>
      <w:numFmt w:val="decimal"/>
      <w:isLgl/>
      <w:lvlText w:val="%1.%2.%3.%4.%5.%6.%7."/>
      <w:lvlJc w:val="left"/>
      <w:pPr>
        <w:tabs>
          <w:tab w:val="num" w:pos="720"/>
        </w:tabs>
        <w:ind w:left="720" w:hanging="363"/>
      </w:pPr>
      <w:rPr>
        <w:rFonts w:hint="default"/>
      </w:rPr>
    </w:lvl>
    <w:lvl w:ilvl="7">
      <w:start w:val="1"/>
      <w:numFmt w:val="decimal"/>
      <w:isLgl/>
      <w:lvlText w:val="%1.%2.%3.%4.%5.%6.%7.%8."/>
      <w:lvlJc w:val="left"/>
      <w:pPr>
        <w:tabs>
          <w:tab w:val="num" w:pos="720"/>
        </w:tabs>
        <w:ind w:left="720" w:hanging="363"/>
      </w:pPr>
      <w:rPr>
        <w:rFonts w:hint="default"/>
      </w:rPr>
    </w:lvl>
    <w:lvl w:ilvl="8">
      <w:start w:val="1"/>
      <w:numFmt w:val="decimal"/>
      <w:isLgl/>
      <w:lvlText w:val="%1.%2.%3.%4.%5.%6.%7.%8.%9."/>
      <w:lvlJc w:val="left"/>
      <w:pPr>
        <w:tabs>
          <w:tab w:val="num" w:pos="720"/>
        </w:tabs>
        <w:ind w:left="720" w:hanging="363"/>
      </w:pPr>
      <w:rPr>
        <w:rFonts w:hint="default"/>
      </w:rPr>
    </w:lvl>
  </w:abstractNum>
  <w:abstractNum w:abstractNumId="3">
    <w:nsid w:val="098A297E"/>
    <w:multiLevelType w:val="hybridMultilevel"/>
    <w:tmpl w:val="FA5C23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B2A75CF"/>
    <w:multiLevelType w:val="hybridMultilevel"/>
    <w:tmpl w:val="B652ECC2"/>
    <w:lvl w:ilvl="0" w:tplc="04080005">
      <w:start w:val="1"/>
      <w:numFmt w:val="bullet"/>
      <w:lvlText w:val=""/>
      <w:lvlJc w:val="left"/>
      <w:pPr>
        <w:ind w:left="796" w:hanging="360"/>
      </w:pPr>
      <w:rPr>
        <w:rFonts w:ascii="Wingdings" w:hAnsi="Wingdings" w:hint="default"/>
      </w:rPr>
    </w:lvl>
    <w:lvl w:ilvl="1" w:tplc="04080003" w:tentative="1">
      <w:start w:val="1"/>
      <w:numFmt w:val="bullet"/>
      <w:lvlText w:val="o"/>
      <w:lvlJc w:val="left"/>
      <w:pPr>
        <w:ind w:left="1516" w:hanging="360"/>
      </w:pPr>
      <w:rPr>
        <w:rFonts w:ascii="Courier New" w:hAnsi="Courier New" w:cs="Courier New" w:hint="default"/>
      </w:rPr>
    </w:lvl>
    <w:lvl w:ilvl="2" w:tplc="04080005" w:tentative="1">
      <w:start w:val="1"/>
      <w:numFmt w:val="bullet"/>
      <w:lvlText w:val=""/>
      <w:lvlJc w:val="left"/>
      <w:pPr>
        <w:ind w:left="2236" w:hanging="360"/>
      </w:pPr>
      <w:rPr>
        <w:rFonts w:ascii="Wingdings" w:hAnsi="Wingdings" w:hint="default"/>
      </w:rPr>
    </w:lvl>
    <w:lvl w:ilvl="3" w:tplc="04080001" w:tentative="1">
      <w:start w:val="1"/>
      <w:numFmt w:val="bullet"/>
      <w:lvlText w:val=""/>
      <w:lvlJc w:val="left"/>
      <w:pPr>
        <w:ind w:left="2956" w:hanging="360"/>
      </w:pPr>
      <w:rPr>
        <w:rFonts w:ascii="Symbol" w:hAnsi="Symbol" w:hint="default"/>
      </w:rPr>
    </w:lvl>
    <w:lvl w:ilvl="4" w:tplc="04080003" w:tentative="1">
      <w:start w:val="1"/>
      <w:numFmt w:val="bullet"/>
      <w:lvlText w:val="o"/>
      <w:lvlJc w:val="left"/>
      <w:pPr>
        <w:ind w:left="3676" w:hanging="360"/>
      </w:pPr>
      <w:rPr>
        <w:rFonts w:ascii="Courier New" w:hAnsi="Courier New" w:cs="Courier New" w:hint="default"/>
      </w:rPr>
    </w:lvl>
    <w:lvl w:ilvl="5" w:tplc="04080005" w:tentative="1">
      <w:start w:val="1"/>
      <w:numFmt w:val="bullet"/>
      <w:lvlText w:val=""/>
      <w:lvlJc w:val="left"/>
      <w:pPr>
        <w:ind w:left="4396" w:hanging="360"/>
      </w:pPr>
      <w:rPr>
        <w:rFonts w:ascii="Wingdings" w:hAnsi="Wingdings" w:hint="default"/>
      </w:rPr>
    </w:lvl>
    <w:lvl w:ilvl="6" w:tplc="04080001" w:tentative="1">
      <w:start w:val="1"/>
      <w:numFmt w:val="bullet"/>
      <w:lvlText w:val=""/>
      <w:lvlJc w:val="left"/>
      <w:pPr>
        <w:ind w:left="5116" w:hanging="360"/>
      </w:pPr>
      <w:rPr>
        <w:rFonts w:ascii="Symbol" w:hAnsi="Symbol" w:hint="default"/>
      </w:rPr>
    </w:lvl>
    <w:lvl w:ilvl="7" w:tplc="04080003" w:tentative="1">
      <w:start w:val="1"/>
      <w:numFmt w:val="bullet"/>
      <w:lvlText w:val="o"/>
      <w:lvlJc w:val="left"/>
      <w:pPr>
        <w:ind w:left="5836" w:hanging="360"/>
      </w:pPr>
      <w:rPr>
        <w:rFonts w:ascii="Courier New" w:hAnsi="Courier New" w:cs="Courier New" w:hint="default"/>
      </w:rPr>
    </w:lvl>
    <w:lvl w:ilvl="8" w:tplc="04080005" w:tentative="1">
      <w:start w:val="1"/>
      <w:numFmt w:val="bullet"/>
      <w:lvlText w:val=""/>
      <w:lvlJc w:val="left"/>
      <w:pPr>
        <w:ind w:left="6556" w:hanging="360"/>
      </w:pPr>
      <w:rPr>
        <w:rFonts w:ascii="Wingdings" w:hAnsi="Wingdings" w:hint="default"/>
      </w:rPr>
    </w:lvl>
  </w:abstractNum>
  <w:abstractNum w:abstractNumId="5">
    <w:nsid w:val="0FC12144"/>
    <w:multiLevelType w:val="hybridMultilevel"/>
    <w:tmpl w:val="E4646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88A22B2"/>
    <w:multiLevelType w:val="hybridMultilevel"/>
    <w:tmpl w:val="651E8F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AC40AF9"/>
    <w:multiLevelType w:val="hybridMultilevel"/>
    <w:tmpl w:val="2F2ADBE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CB76114"/>
    <w:multiLevelType w:val="hybridMultilevel"/>
    <w:tmpl w:val="2388751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DF87207"/>
    <w:multiLevelType w:val="hybridMultilevel"/>
    <w:tmpl w:val="8F541A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CD234B2"/>
    <w:multiLevelType w:val="hybridMultilevel"/>
    <w:tmpl w:val="772A18DC"/>
    <w:lvl w:ilvl="0" w:tplc="8F0E7EB0">
      <w:numFmt w:val="bullet"/>
      <w:lvlText w:val="–"/>
      <w:lvlJc w:val="left"/>
      <w:pPr>
        <w:ind w:left="1287" w:hanging="360"/>
      </w:pPr>
      <w:rPr>
        <w:rFonts w:ascii="Arial" w:eastAsia="Times New Roman" w:hAnsi="Arial" w:cs="Arial" w:hint="default"/>
        <w:color w:val="auto"/>
      </w:rPr>
    </w:lvl>
    <w:lvl w:ilvl="1" w:tplc="04080003">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1">
    <w:nsid w:val="2F807F44"/>
    <w:multiLevelType w:val="hybridMultilevel"/>
    <w:tmpl w:val="5C92CCB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FD2540E"/>
    <w:multiLevelType w:val="hybridMultilevel"/>
    <w:tmpl w:val="A862295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4F56536"/>
    <w:multiLevelType w:val="multilevel"/>
    <w:tmpl w:val="ACF24084"/>
    <w:lvl w:ilvl="0">
      <w:start w:val="1"/>
      <w:numFmt w:val="decimal"/>
      <w:lvlText w:val="%1."/>
      <w:lvlJc w:val="left"/>
      <w:pPr>
        <w:ind w:left="720" w:hanging="360"/>
      </w:pPr>
      <w:rPr>
        <w:rFonts w:hint="default"/>
      </w:rPr>
    </w:lvl>
    <w:lvl w:ilvl="1">
      <w:start w:val="2"/>
      <w:numFmt w:val="decimal"/>
      <w:isLgl/>
      <w:lvlText w:val="%1.%2."/>
      <w:lvlJc w:val="left"/>
      <w:pPr>
        <w:ind w:left="915" w:hanging="55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1B01DE"/>
    <w:multiLevelType w:val="hybridMultilevel"/>
    <w:tmpl w:val="E9EA4FA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36D8482E"/>
    <w:multiLevelType w:val="hybridMultilevel"/>
    <w:tmpl w:val="B540CF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7FB4F06"/>
    <w:multiLevelType w:val="hybridMultilevel"/>
    <w:tmpl w:val="9E14CF38"/>
    <w:lvl w:ilvl="0" w:tplc="458A539E">
      <w:start w:val="1"/>
      <w:numFmt w:val="bullet"/>
      <w:lvlText w:val="•"/>
      <w:lvlJc w:val="left"/>
      <w:pPr>
        <w:tabs>
          <w:tab w:val="num" w:pos="720"/>
        </w:tabs>
        <w:ind w:left="720" w:hanging="360"/>
      </w:pPr>
      <w:rPr>
        <w:rFonts w:ascii="Arial" w:hAnsi="Arial" w:hint="default"/>
      </w:rPr>
    </w:lvl>
    <w:lvl w:ilvl="1" w:tplc="4CD4D9F4" w:tentative="1">
      <w:start w:val="1"/>
      <w:numFmt w:val="bullet"/>
      <w:lvlText w:val="•"/>
      <w:lvlJc w:val="left"/>
      <w:pPr>
        <w:tabs>
          <w:tab w:val="num" w:pos="1440"/>
        </w:tabs>
        <w:ind w:left="1440" w:hanging="360"/>
      </w:pPr>
      <w:rPr>
        <w:rFonts w:ascii="Arial" w:hAnsi="Arial" w:hint="default"/>
      </w:rPr>
    </w:lvl>
    <w:lvl w:ilvl="2" w:tplc="116EF806" w:tentative="1">
      <w:start w:val="1"/>
      <w:numFmt w:val="bullet"/>
      <w:lvlText w:val="•"/>
      <w:lvlJc w:val="left"/>
      <w:pPr>
        <w:tabs>
          <w:tab w:val="num" w:pos="2160"/>
        </w:tabs>
        <w:ind w:left="2160" w:hanging="360"/>
      </w:pPr>
      <w:rPr>
        <w:rFonts w:ascii="Arial" w:hAnsi="Arial" w:hint="default"/>
      </w:rPr>
    </w:lvl>
    <w:lvl w:ilvl="3" w:tplc="A9DE4C1E" w:tentative="1">
      <w:start w:val="1"/>
      <w:numFmt w:val="bullet"/>
      <w:lvlText w:val="•"/>
      <w:lvlJc w:val="left"/>
      <w:pPr>
        <w:tabs>
          <w:tab w:val="num" w:pos="2880"/>
        </w:tabs>
        <w:ind w:left="2880" w:hanging="360"/>
      </w:pPr>
      <w:rPr>
        <w:rFonts w:ascii="Arial" w:hAnsi="Arial" w:hint="default"/>
      </w:rPr>
    </w:lvl>
    <w:lvl w:ilvl="4" w:tplc="91D4117A" w:tentative="1">
      <w:start w:val="1"/>
      <w:numFmt w:val="bullet"/>
      <w:lvlText w:val="•"/>
      <w:lvlJc w:val="left"/>
      <w:pPr>
        <w:tabs>
          <w:tab w:val="num" w:pos="3600"/>
        </w:tabs>
        <w:ind w:left="3600" w:hanging="360"/>
      </w:pPr>
      <w:rPr>
        <w:rFonts w:ascii="Arial" w:hAnsi="Arial" w:hint="default"/>
      </w:rPr>
    </w:lvl>
    <w:lvl w:ilvl="5" w:tplc="FCA01D24" w:tentative="1">
      <w:start w:val="1"/>
      <w:numFmt w:val="bullet"/>
      <w:lvlText w:val="•"/>
      <w:lvlJc w:val="left"/>
      <w:pPr>
        <w:tabs>
          <w:tab w:val="num" w:pos="4320"/>
        </w:tabs>
        <w:ind w:left="4320" w:hanging="360"/>
      </w:pPr>
      <w:rPr>
        <w:rFonts w:ascii="Arial" w:hAnsi="Arial" w:hint="default"/>
      </w:rPr>
    </w:lvl>
    <w:lvl w:ilvl="6" w:tplc="3C24BBBA" w:tentative="1">
      <w:start w:val="1"/>
      <w:numFmt w:val="bullet"/>
      <w:lvlText w:val="•"/>
      <w:lvlJc w:val="left"/>
      <w:pPr>
        <w:tabs>
          <w:tab w:val="num" w:pos="5040"/>
        </w:tabs>
        <w:ind w:left="5040" w:hanging="360"/>
      </w:pPr>
      <w:rPr>
        <w:rFonts w:ascii="Arial" w:hAnsi="Arial" w:hint="default"/>
      </w:rPr>
    </w:lvl>
    <w:lvl w:ilvl="7" w:tplc="7E202A42" w:tentative="1">
      <w:start w:val="1"/>
      <w:numFmt w:val="bullet"/>
      <w:lvlText w:val="•"/>
      <w:lvlJc w:val="left"/>
      <w:pPr>
        <w:tabs>
          <w:tab w:val="num" w:pos="5760"/>
        </w:tabs>
        <w:ind w:left="5760" w:hanging="360"/>
      </w:pPr>
      <w:rPr>
        <w:rFonts w:ascii="Arial" w:hAnsi="Arial" w:hint="default"/>
      </w:rPr>
    </w:lvl>
    <w:lvl w:ilvl="8" w:tplc="74DED2B4" w:tentative="1">
      <w:start w:val="1"/>
      <w:numFmt w:val="bullet"/>
      <w:lvlText w:val="•"/>
      <w:lvlJc w:val="left"/>
      <w:pPr>
        <w:tabs>
          <w:tab w:val="num" w:pos="6480"/>
        </w:tabs>
        <w:ind w:left="6480" w:hanging="360"/>
      </w:pPr>
      <w:rPr>
        <w:rFonts w:ascii="Arial" w:hAnsi="Arial" w:hint="default"/>
      </w:rPr>
    </w:lvl>
  </w:abstractNum>
  <w:abstractNum w:abstractNumId="17">
    <w:nsid w:val="3A7B3B01"/>
    <w:multiLevelType w:val="hybridMultilevel"/>
    <w:tmpl w:val="C56C60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B0A20CA"/>
    <w:multiLevelType w:val="hybridMultilevel"/>
    <w:tmpl w:val="598A77D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3D657B09"/>
    <w:multiLevelType w:val="hybridMultilevel"/>
    <w:tmpl w:val="B25AD1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18B2735"/>
    <w:multiLevelType w:val="multilevel"/>
    <w:tmpl w:val="ACF24084"/>
    <w:lvl w:ilvl="0">
      <w:start w:val="1"/>
      <w:numFmt w:val="decimal"/>
      <w:lvlText w:val="%1."/>
      <w:lvlJc w:val="left"/>
      <w:pPr>
        <w:ind w:left="720" w:hanging="360"/>
      </w:pPr>
      <w:rPr>
        <w:rFonts w:hint="default"/>
      </w:rPr>
    </w:lvl>
    <w:lvl w:ilvl="1">
      <w:start w:val="2"/>
      <w:numFmt w:val="decimal"/>
      <w:isLgl/>
      <w:lvlText w:val="%1.%2."/>
      <w:lvlJc w:val="left"/>
      <w:pPr>
        <w:ind w:left="915" w:hanging="55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1FF040C"/>
    <w:multiLevelType w:val="hybridMultilevel"/>
    <w:tmpl w:val="F8E05C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5BD2EF7"/>
    <w:multiLevelType w:val="hybridMultilevel"/>
    <w:tmpl w:val="DE1EA4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5D54A07"/>
    <w:multiLevelType w:val="hybridMultilevel"/>
    <w:tmpl w:val="6CBA840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nsid w:val="469C072C"/>
    <w:multiLevelType w:val="multilevel"/>
    <w:tmpl w:val="A2CAC5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1C4460"/>
    <w:multiLevelType w:val="hybridMultilevel"/>
    <w:tmpl w:val="BDC8311C"/>
    <w:lvl w:ilvl="0" w:tplc="8F0E7EB0">
      <w:numFmt w:val="bullet"/>
      <w:lvlText w:val="–"/>
      <w:lvlJc w:val="left"/>
      <w:pPr>
        <w:ind w:left="1287" w:hanging="360"/>
      </w:pPr>
      <w:rPr>
        <w:rFonts w:ascii="Arial" w:eastAsia="Times New Roman" w:hAnsi="Arial" w:cs="Arial" w:hint="default"/>
        <w:color w:val="auto"/>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6">
    <w:nsid w:val="49230D4B"/>
    <w:multiLevelType w:val="hybridMultilevel"/>
    <w:tmpl w:val="0422E7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EC81E09"/>
    <w:multiLevelType w:val="hybridMultilevel"/>
    <w:tmpl w:val="FD2664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4B61C1E"/>
    <w:multiLevelType w:val="hybridMultilevel"/>
    <w:tmpl w:val="D52ED3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55DE6AE3"/>
    <w:multiLevelType w:val="hybridMultilevel"/>
    <w:tmpl w:val="9FAE51A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nsid w:val="562B667C"/>
    <w:multiLevelType w:val="hybridMultilevel"/>
    <w:tmpl w:val="CB6680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9165E17"/>
    <w:multiLevelType w:val="hybridMultilevel"/>
    <w:tmpl w:val="D5BE63EA"/>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32">
    <w:nsid w:val="594D2F5D"/>
    <w:multiLevelType w:val="hybridMultilevel"/>
    <w:tmpl w:val="7AB2A63A"/>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C921E4D"/>
    <w:multiLevelType w:val="hybridMultilevel"/>
    <w:tmpl w:val="3A0A0F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D043900"/>
    <w:multiLevelType w:val="hybridMultilevel"/>
    <w:tmpl w:val="C75ED80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5FE65144"/>
    <w:multiLevelType w:val="hybridMultilevel"/>
    <w:tmpl w:val="D47AF6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79E6FC2"/>
    <w:multiLevelType w:val="hybridMultilevel"/>
    <w:tmpl w:val="0422E7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8BD5797"/>
    <w:multiLevelType w:val="hybridMultilevel"/>
    <w:tmpl w:val="35EABE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8F414A5"/>
    <w:multiLevelType w:val="hybridMultilevel"/>
    <w:tmpl w:val="8AC659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CA66D09"/>
    <w:multiLevelType w:val="hybridMultilevel"/>
    <w:tmpl w:val="702A82CC"/>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0">
    <w:nsid w:val="74AD5969"/>
    <w:multiLevelType w:val="hybridMultilevel"/>
    <w:tmpl w:val="CCB6DF2C"/>
    <w:lvl w:ilvl="0" w:tplc="04080001">
      <w:start w:val="1"/>
      <w:numFmt w:val="bullet"/>
      <w:pStyle w:val="a"/>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5CB33BE"/>
    <w:multiLevelType w:val="hybridMultilevel"/>
    <w:tmpl w:val="6B5C1F3C"/>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2">
    <w:nsid w:val="7CE410B8"/>
    <w:multiLevelType w:val="multilevel"/>
    <w:tmpl w:val="33744776"/>
    <w:lvl w:ilvl="0">
      <w:start w:val="1"/>
      <w:numFmt w:val="decimal"/>
      <w:lvlText w:val="%1."/>
      <w:lvlJc w:val="left"/>
      <w:pPr>
        <w:tabs>
          <w:tab w:val="num" w:pos="720"/>
        </w:tabs>
        <w:ind w:left="720" w:hanging="363"/>
      </w:pPr>
      <w:rPr>
        <w:rFonts w:hint="default"/>
      </w:rPr>
    </w:lvl>
    <w:lvl w:ilvl="1">
      <w:start w:val="1"/>
      <w:numFmt w:val="decimal"/>
      <w:isLgl/>
      <w:lvlText w:val="%1.%2."/>
      <w:lvlJc w:val="left"/>
      <w:pPr>
        <w:tabs>
          <w:tab w:val="num" w:pos="720"/>
        </w:tabs>
        <w:ind w:left="720" w:hanging="363"/>
      </w:pPr>
      <w:rPr>
        <w:rFonts w:hint="default"/>
      </w:rPr>
    </w:lvl>
    <w:lvl w:ilvl="2">
      <w:start w:val="1"/>
      <w:numFmt w:val="decimal"/>
      <w:isLgl/>
      <w:lvlText w:val="%1.%2.%3."/>
      <w:lvlJc w:val="left"/>
      <w:pPr>
        <w:tabs>
          <w:tab w:val="num" w:pos="720"/>
        </w:tabs>
        <w:ind w:left="720" w:hanging="363"/>
      </w:pPr>
      <w:rPr>
        <w:rFonts w:hint="default"/>
      </w:rPr>
    </w:lvl>
    <w:lvl w:ilvl="3">
      <w:start w:val="1"/>
      <w:numFmt w:val="decimal"/>
      <w:isLgl/>
      <w:lvlText w:val="%1.%2.%3.%4."/>
      <w:lvlJc w:val="left"/>
      <w:pPr>
        <w:tabs>
          <w:tab w:val="num" w:pos="720"/>
        </w:tabs>
        <w:ind w:left="720" w:hanging="363"/>
      </w:pPr>
      <w:rPr>
        <w:rFonts w:hint="default"/>
      </w:rPr>
    </w:lvl>
    <w:lvl w:ilvl="4">
      <w:start w:val="1"/>
      <w:numFmt w:val="decimal"/>
      <w:isLgl/>
      <w:lvlText w:val="%1.%2.%3.%4.%5."/>
      <w:lvlJc w:val="left"/>
      <w:pPr>
        <w:tabs>
          <w:tab w:val="num" w:pos="720"/>
        </w:tabs>
        <w:ind w:left="720" w:hanging="363"/>
      </w:pPr>
      <w:rPr>
        <w:rFonts w:hint="default"/>
      </w:rPr>
    </w:lvl>
    <w:lvl w:ilvl="5">
      <w:start w:val="1"/>
      <w:numFmt w:val="decimal"/>
      <w:isLgl/>
      <w:lvlText w:val="%1.%2.%3.%4.%5.%6."/>
      <w:lvlJc w:val="left"/>
      <w:pPr>
        <w:tabs>
          <w:tab w:val="num" w:pos="720"/>
        </w:tabs>
        <w:ind w:left="720" w:hanging="363"/>
      </w:pPr>
      <w:rPr>
        <w:rFonts w:hint="default"/>
      </w:rPr>
    </w:lvl>
    <w:lvl w:ilvl="6">
      <w:start w:val="1"/>
      <w:numFmt w:val="decimal"/>
      <w:isLgl/>
      <w:lvlText w:val="%1.%2.%3.%4.%5.%6.%7."/>
      <w:lvlJc w:val="left"/>
      <w:pPr>
        <w:tabs>
          <w:tab w:val="num" w:pos="720"/>
        </w:tabs>
        <w:ind w:left="720" w:hanging="363"/>
      </w:pPr>
      <w:rPr>
        <w:rFonts w:hint="default"/>
      </w:rPr>
    </w:lvl>
    <w:lvl w:ilvl="7">
      <w:start w:val="1"/>
      <w:numFmt w:val="decimal"/>
      <w:isLgl/>
      <w:lvlText w:val="%1.%2.%3.%4.%5.%6.%7.%8."/>
      <w:lvlJc w:val="left"/>
      <w:pPr>
        <w:tabs>
          <w:tab w:val="num" w:pos="720"/>
        </w:tabs>
        <w:ind w:left="720" w:hanging="363"/>
      </w:pPr>
      <w:rPr>
        <w:rFonts w:hint="default"/>
      </w:rPr>
    </w:lvl>
    <w:lvl w:ilvl="8">
      <w:start w:val="1"/>
      <w:numFmt w:val="decimal"/>
      <w:isLgl/>
      <w:lvlText w:val="%1.%2.%3.%4.%5.%6.%7.%8.%9."/>
      <w:lvlJc w:val="left"/>
      <w:pPr>
        <w:tabs>
          <w:tab w:val="num" w:pos="720"/>
        </w:tabs>
        <w:ind w:left="720" w:hanging="363"/>
      </w:pPr>
      <w:rPr>
        <w:rFonts w:hint="default"/>
      </w:rPr>
    </w:lvl>
  </w:abstractNum>
  <w:num w:numId="1">
    <w:abstractNumId w:val="2"/>
  </w:num>
  <w:num w:numId="2">
    <w:abstractNumId w:val="17"/>
  </w:num>
  <w:num w:numId="3">
    <w:abstractNumId w:val="24"/>
  </w:num>
  <w:num w:numId="4">
    <w:abstractNumId w:val="6"/>
  </w:num>
  <w:num w:numId="5">
    <w:abstractNumId w:val="3"/>
  </w:num>
  <w:num w:numId="6">
    <w:abstractNumId w:val="31"/>
  </w:num>
  <w:num w:numId="7">
    <w:abstractNumId w:val="35"/>
  </w:num>
  <w:num w:numId="8">
    <w:abstractNumId w:val="5"/>
  </w:num>
  <w:num w:numId="9">
    <w:abstractNumId w:val="27"/>
  </w:num>
  <w:num w:numId="10">
    <w:abstractNumId w:val="41"/>
  </w:num>
  <w:num w:numId="11">
    <w:abstractNumId w:val="2"/>
  </w:num>
  <w:num w:numId="12">
    <w:abstractNumId w:val="20"/>
  </w:num>
  <w:num w:numId="13">
    <w:abstractNumId w:val="22"/>
  </w:num>
  <w:num w:numId="14">
    <w:abstractNumId w:val="23"/>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4"/>
  </w:num>
  <w:num w:numId="18">
    <w:abstractNumId w:val="19"/>
  </w:num>
  <w:num w:numId="19">
    <w:abstractNumId w:val="40"/>
  </w:num>
  <w:num w:numId="20">
    <w:abstractNumId w:val="9"/>
  </w:num>
  <w:num w:numId="21">
    <w:abstractNumId w:val="30"/>
  </w:num>
  <w:num w:numId="22">
    <w:abstractNumId w:val="42"/>
  </w:num>
  <w:num w:numId="23">
    <w:abstractNumId w:val="38"/>
  </w:num>
  <w:num w:numId="24">
    <w:abstractNumId w:val="21"/>
  </w:num>
  <w:num w:numId="25">
    <w:abstractNumId w:val="32"/>
  </w:num>
  <w:num w:numId="26">
    <w:abstractNumId w:val="4"/>
  </w:num>
  <w:num w:numId="27">
    <w:abstractNumId w:val="29"/>
  </w:num>
  <w:num w:numId="28">
    <w:abstractNumId w:val="39"/>
  </w:num>
  <w:num w:numId="29">
    <w:abstractNumId w:val="15"/>
  </w:num>
  <w:num w:numId="30">
    <w:abstractNumId w:val="37"/>
  </w:num>
  <w:num w:numId="31">
    <w:abstractNumId w:val="1"/>
  </w:num>
  <w:num w:numId="32">
    <w:abstractNumId w:val="11"/>
  </w:num>
  <w:num w:numId="33">
    <w:abstractNumId w:val="36"/>
  </w:num>
  <w:num w:numId="34">
    <w:abstractNumId w:val="34"/>
  </w:num>
  <w:num w:numId="35">
    <w:abstractNumId w:val="13"/>
  </w:num>
  <w:num w:numId="36">
    <w:abstractNumId w:val="8"/>
  </w:num>
  <w:num w:numId="37">
    <w:abstractNumId w:val="26"/>
  </w:num>
  <w:num w:numId="38">
    <w:abstractNumId w:val="7"/>
  </w:num>
  <w:num w:numId="39">
    <w:abstractNumId w:val="12"/>
  </w:num>
  <w:num w:numId="40">
    <w:abstractNumId w:val="0"/>
  </w:num>
  <w:num w:numId="41">
    <w:abstractNumId w:val="10"/>
  </w:num>
  <w:num w:numId="42">
    <w:abstractNumId w:val="25"/>
  </w:num>
  <w:num w:numId="43">
    <w:abstractNumId w:val="16"/>
  </w:num>
  <w:num w:numId="44">
    <w:abstractNumId w:val="33"/>
  </w:num>
  <w:num w:numId="45">
    <w:abstractNumId w:val="2"/>
  </w:num>
  <w:num w:numId="46">
    <w:abstractNumId w:val="2"/>
  </w:num>
  <w:num w:numId="47">
    <w:abstractNumId w:val="2"/>
  </w:num>
  <w:num w:numId="48">
    <w:abstractNumId w:val="2"/>
  </w:num>
  <w:num w:numId="49">
    <w:abstractNumId w:val="2"/>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C1F79"/>
    <w:rsid w:val="00037D96"/>
    <w:rsid w:val="00073343"/>
    <w:rsid w:val="001D596F"/>
    <w:rsid w:val="003D4620"/>
    <w:rsid w:val="00443A32"/>
    <w:rsid w:val="005A571C"/>
    <w:rsid w:val="005C1F79"/>
    <w:rsid w:val="006C74DD"/>
    <w:rsid w:val="006D64A9"/>
    <w:rsid w:val="007217F3"/>
    <w:rsid w:val="007C5584"/>
    <w:rsid w:val="008C432A"/>
    <w:rsid w:val="00915E2D"/>
    <w:rsid w:val="009801E6"/>
    <w:rsid w:val="00A741D2"/>
    <w:rsid w:val="00AF6261"/>
    <w:rsid w:val="00B81938"/>
    <w:rsid w:val="00C05869"/>
    <w:rsid w:val="00E2703A"/>
    <w:rsid w:val="00F859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1F79"/>
    <w:pPr>
      <w:spacing w:after="120" w:line="259" w:lineRule="auto"/>
      <w:jc w:val="both"/>
    </w:pPr>
    <w:rPr>
      <w:sz w:val="24"/>
      <w:szCs w:val="24"/>
    </w:rPr>
  </w:style>
  <w:style w:type="paragraph" w:styleId="1">
    <w:name w:val="heading 1"/>
    <w:next w:val="a0"/>
    <w:link w:val="1Char"/>
    <w:uiPriority w:val="9"/>
    <w:qFormat/>
    <w:rsid w:val="005C1F79"/>
    <w:pPr>
      <w:keepNext/>
      <w:keepLines/>
      <w:numPr>
        <w:numId w:val="1"/>
      </w:numPr>
      <w:spacing w:before="240" w:after="240" w:line="259" w:lineRule="auto"/>
      <w:ind w:hanging="720"/>
      <w:outlineLvl w:val="0"/>
    </w:pPr>
    <w:rPr>
      <w:rFonts w:eastAsiaTheme="majorEastAsia" w:cstheme="minorHAnsi"/>
      <w:b/>
      <w:color w:val="365F91" w:themeColor="accent1" w:themeShade="BF"/>
      <w:sz w:val="36"/>
      <w:szCs w:val="32"/>
    </w:rPr>
  </w:style>
  <w:style w:type="paragraph" w:styleId="2">
    <w:name w:val="heading 2"/>
    <w:basedOn w:val="3"/>
    <w:next w:val="a0"/>
    <w:link w:val="2Char"/>
    <w:uiPriority w:val="9"/>
    <w:unhideWhenUsed/>
    <w:qFormat/>
    <w:rsid w:val="005C1F79"/>
    <w:pPr>
      <w:numPr>
        <w:ilvl w:val="1"/>
      </w:numPr>
      <w:outlineLvl w:val="1"/>
    </w:pPr>
    <w:rPr>
      <w:b/>
      <w:sz w:val="28"/>
      <w:szCs w:val="28"/>
    </w:rPr>
  </w:style>
  <w:style w:type="paragraph" w:styleId="3">
    <w:name w:val="heading 3"/>
    <w:next w:val="a0"/>
    <w:link w:val="3Char"/>
    <w:unhideWhenUsed/>
    <w:qFormat/>
    <w:rsid w:val="005C1F79"/>
    <w:pPr>
      <w:keepNext/>
      <w:keepLines/>
      <w:numPr>
        <w:ilvl w:val="2"/>
        <w:numId w:val="1"/>
      </w:numPr>
      <w:spacing w:before="240" w:after="120" w:line="259" w:lineRule="auto"/>
      <w:ind w:hanging="720"/>
      <w:outlineLvl w:val="2"/>
    </w:pPr>
    <w:rPr>
      <w:rFonts w:asciiTheme="majorHAnsi" w:eastAsiaTheme="majorEastAsia" w:hAnsiTheme="majorHAnsi" w:cstheme="majorBidi"/>
      <w:color w:val="365F91" w:themeColor="accent1" w:themeShade="BF"/>
      <w:sz w:val="24"/>
      <w:szCs w:val="24"/>
    </w:rPr>
  </w:style>
  <w:style w:type="paragraph" w:styleId="4">
    <w:name w:val="heading 4"/>
    <w:basedOn w:val="a0"/>
    <w:next w:val="a0"/>
    <w:link w:val="4Char"/>
    <w:uiPriority w:val="9"/>
    <w:unhideWhenUsed/>
    <w:qFormat/>
    <w:rsid w:val="00443A3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unhideWhenUsed/>
    <w:qFormat/>
    <w:rsid w:val="009801E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unhideWhenUsed/>
    <w:rsid w:val="005C1F79"/>
    <w:pPr>
      <w:tabs>
        <w:tab w:val="center" w:pos="4153"/>
        <w:tab w:val="right" w:pos="8306"/>
      </w:tabs>
      <w:spacing w:after="0" w:line="240" w:lineRule="auto"/>
    </w:pPr>
  </w:style>
  <w:style w:type="character" w:customStyle="1" w:styleId="Char">
    <w:name w:val="Υποσέλιδο Char"/>
    <w:basedOn w:val="a1"/>
    <w:link w:val="a4"/>
    <w:uiPriority w:val="99"/>
    <w:rsid w:val="005C1F79"/>
    <w:rPr>
      <w:sz w:val="24"/>
      <w:szCs w:val="24"/>
    </w:rPr>
  </w:style>
  <w:style w:type="paragraph" w:styleId="a5">
    <w:name w:val="Title"/>
    <w:basedOn w:val="a0"/>
    <w:link w:val="Char0"/>
    <w:uiPriority w:val="10"/>
    <w:qFormat/>
    <w:rsid w:val="005C1F79"/>
    <w:pPr>
      <w:spacing w:line="500" w:lineRule="exact"/>
      <w:jc w:val="left"/>
    </w:pPr>
    <w:rPr>
      <w:rFonts w:eastAsia="Times New Roman" w:cstheme="minorHAnsi"/>
      <w:b/>
      <w:bCs/>
      <w:spacing w:val="10"/>
      <w:sz w:val="28"/>
      <w:szCs w:val="28"/>
      <w:lang w:eastAsia="el-GR"/>
    </w:rPr>
  </w:style>
  <w:style w:type="character" w:customStyle="1" w:styleId="Char0">
    <w:name w:val="Τίτλος Char"/>
    <w:basedOn w:val="a1"/>
    <w:link w:val="a5"/>
    <w:uiPriority w:val="10"/>
    <w:rsid w:val="005C1F79"/>
    <w:rPr>
      <w:rFonts w:eastAsia="Times New Roman" w:cstheme="minorHAnsi"/>
      <w:b/>
      <w:bCs/>
      <w:spacing w:val="10"/>
      <w:sz w:val="28"/>
      <w:szCs w:val="28"/>
      <w:lang w:eastAsia="el-GR"/>
    </w:rPr>
  </w:style>
  <w:style w:type="character" w:customStyle="1" w:styleId="1Char">
    <w:name w:val="Επικεφαλίδα 1 Char"/>
    <w:basedOn w:val="a1"/>
    <w:link w:val="1"/>
    <w:uiPriority w:val="9"/>
    <w:rsid w:val="005C1F79"/>
    <w:rPr>
      <w:rFonts w:eastAsiaTheme="majorEastAsia" w:cstheme="minorHAnsi"/>
      <w:b/>
      <w:color w:val="365F91" w:themeColor="accent1" w:themeShade="BF"/>
      <w:sz w:val="36"/>
      <w:szCs w:val="32"/>
    </w:rPr>
  </w:style>
  <w:style w:type="character" w:customStyle="1" w:styleId="2Char">
    <w:name w:val="Επικεφαλίδα 2 Char"/>
    <w:basedOn w:val="a1"/>
    <w:link w:val="2"/>
    <w:uiPriority w:val="9"/>
    <w:rsid w:val="005C1F79"/>
    <w:rPr>
      <w:rFonts w:asciiTheme="majorHAnsi" w:eastAsiaTheme="majorEastAsia" w:hAnsiTheme="majorHAnsi" w:cstheme="majorBidi"/>
      <w:b/>
      <w:color w:val="365F91" w:themeColor="accent1" w:themeShade="BF"/>
      <w:sz w:val="28"/>
      <w:szCs w:val="28"/>
    </w:rPr>
  </w:style>
  <w:style w:type="character" w:customStyle="1" w:styleId="3Char">
    <w:name w:val="Επικεφαλίδα 3 Char"/>
    <w:basedOn w:val="a1"/>
    <w:link w:val="3"/>
    <w:rsid w:val="005C1F79"/>
    <w:rPr>
      <w:rFonts w:asciiTheme="majorHAnsi" w:eastAsiaTheme="majorEastAsia" w:hAnsiTheme="majorHAnsi" w:cstheme="majorBidi"/>
      <w:color w:val="365F91" w:themeColor="accent1" w:themeShade="BF"/>
      <w:sz w:val="24"/>
      <w:szCs w:val="24"/>
    </w:rPr>
  </w:style>
  <w:style w:type="paragraph" w:customStyle="1" w:styleId="Source">
    <w:name w:val="Source"/>
    <w:qFormat/>
    <w:rsid w:val="005C1F79"/>
    <w:pPr>
      <w:spacing w:before="120" w:after="240" w:line="240" w:lineRule="auto"/>
      <w:jc w:val="both"/>
    </w:pPr>
    <w:rPr>
      <w:rFonts w:asciiTheme="majorHAnsi" w:hAnsiTheme="majorHAnsi" w:cstheme="majorHAnsi"/>
      <w:sz w:val="20"/>
      <w:szCs w:val="20"/>
    </w:rPr>
  </w:style>
  <w:style w:type="paragraph" w:styleId="a6">
    <w:name w:val="caption"/>
    <w:next w:val="a0"/>
    <w:uiPriority w:val="35"/>
    <w:unhideWhenUsed/>
    <w:qFormat/>
    <w:rsid w:val="005C1F79"/>
    <w:pPr>
      <w:keepNext/>
      <w:tabs>
        <w:tab w:val="left" w:pos="1701"/>
      </w:tabs>
      <w:spacing w:before="240" w:after="120" w:line="240" w:lineRule="auto"/>
      <w:ind w:left="1701" w:hanging="1701"/>
    </w:pPr>
    <w:rPr>
      <w:rFonts w:asciiTheme="majorHAnsi" w:hAnsiTheme="majorHAnsi" w:cstheme="majorHAnsi"/>
      <w:b/>
      <w:iCs/>
    </w:rPr>
  </w:style>
  <w:style w:type="paragraph" w:styleId="a7">
    <w:name w:val="Balloon Text"/>
    <w:basedOn w:val="a0"/>
    <w:link w:val="Char1"/>
    <w:uiPriority w:val="99"/>
    <w:semiHidden/>
    <w:unhideWhenUsed/>
    <w:rsid w:val="005C1F79"/>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5C1F79"/>
    <w:rPr>
      <w:rFonts w:ascii="Tahoma" w:hAnsi="Tahoma" w:cs="Tahoma"/>
      <w:sz w:val="16"/>
      <w:szCs w:val="16"/>
    </w:rPr>
  </w:style>
  <w:style w:type="character" w:customStyle="1" w:styleId="hps">
    <w:name w:val="hps"/>
    <w:basedOn w:val="a1"/>
    <w:rsid w:val="00443A32"/>
  </w:style>
  <w:style w:type="character" w:styleId="a8">
    <w:name w:val="Emphasis"/>
    <w:basedOn w:val="a1"/>
    <w:uiPriority w:val="20"/>
    <w:qFormat/>
    <w:rsid w:val="00443A32"/>
    <w:rPr>
      <w:b/>
      <w:bCs/>
      <w:i w:val="0"/>
      <w:iCs w:val="0"/>
    </w:rPr>
  </w:style>
  <w:style w:type="character" w:customStyle="1" w:styleId="4Char">
    <w:name w:val="Επικεφαλίδα 4 Char"/>
    <w:basedOn w:val="a1"/>
    <w:link w:val="4"/>
    <w:uiPriority w:val="9"/>
    <w:rsid w:val="00443A32"/>
    <w:rPr>
      <w:rFonts w:asciiTheme="majorHAnsi" w:eastAsiaTheme="majorEastAsia" w:hAnsiTheme="majorHAnsi" w:cstheme="majorBidi"/>
      <w:b/>
      <w:bCs/>
      <w:i/>
      <w:iCs/>
      <w:color w:val="4F81BD" w:themeColor="accent1"/>
      <w:sz w:val="24"/>
      <w:szCs w:val="24"/>
    </w:rPr>
  </w:style>
  <w:style w:type="paragraph" w:styleId="a9">
    <w:name w:val="List Paragraph"/>
    <w:basedOn w:val="a0"/>
    <w:uiPriority w:val="34"/>
    <w:qFormat/>
    <w:rsid w:val="00443A32"/>
    <w:pPr>
      <w:ind w:left="720"/>
      <w:contextualSpacing/>
    </w:pPr>
  </w:style>
  <w:style w:type="paragraph" w:styleId="aa">
    <w:name w:val="footnote text"/>
    <w:basedOn w:val="a0"/>
    <w:link w:val="Char2"/>
    <w:uiPriority w:val="99"/>
    <w:semiHidden/>
    <w:rsid w:val="00443A32"/>
    <w:pPr>
      <w:spacing w:after="0" w:line="240" w:lineRule="auto"/>
    </w:pPr>
    <w:rPr>
      <w:rFonts w:ascii="Times New Roman" w:eastAsia="Times New Roman" w:hAnsi="Times New Roman" w:cs="Times New Roman"/>
      <w:sz w:val="20"/>
      <w:szCs w:val="20"/>
      <w:lang w:eastAsia="el-GR"/>
    </w:rPr>
  </w:style>
  <w:style w:type="character" w:customStyle="1" w:styleId="Char2">
    <w:name w:val="Κείμενο υποσημείωσης Char"/>
    <w:basedOn w:val="a1"/>
    <w:link w:val="aa"/>
    <w:uiPriority w:val="99"/>
    <w:semiHidden/>
    <w:rsid w:val="00443A32"/>
    <w:rPr>
      <w:rFonts w:ascii="Times New Roman" w:eastAsia="Times New Roman" w:hAnsi="Times New Roman" w:cs="Times New Roman"/>
      <w:sz w:val="20"/>
      <w:szCs w:val="20"/>
      <w:lang w:eastAsia="el-GR"/>
    </w:rPr>
  </w:style>
  <w:style w:type="character" w:styleId="ab">
    <w:name w:val="footnote reference"/>
    <w:basedOn w:val="a1"/>
    <w:uiPriority w:val="99"/>
    <w:semiHidden/>
    <w:rsid w:val="00443A32"/>
    <w:rPr>
      <w:vertAlign w:val="superscript"/>
    </w:rPr>
  </w:style>
  <w:style w:type="table" w:customStyle="1" w:styleId="11">
    <w:name w:val="Ανοιχτόχρωμος πίνακας λίστας 11"/>
    <w:basedOn w:val="a2"/>
    <w:uiPriority w:val="46"/>
    <w:rsid w:val="00443A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ac">
    <w:name w:val="Table Grid"/>
    <w:basedOn w:val="a2"/>
    <w:uiPriority w:val="59"/>
    <w:rsid w:val="009801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rsid w:val="009801E6"/>
  </w:style>
  <w:style w:type="character" w:customStyle="1" w:styleId="5Char">
    <w:name w:val="Επικεφαλίδα 5 Char"/>
    <w:basedOn w:val="a1"/>
    <w:link w:val="5"/>
    <w:uiPriority w:val="9"/>
    <w:rsid w:val="009801E6"/>
    <w:rPr>
      <w:rFonts w:asciiTheme="majorHAnsi" w:eastAsiaTheme="majorEastAsia" w:hAnsiTheme="majorHAnsi" w:cstheme="majorBidi"/>
      <w:color w:val="365F91" w:themeColor="accent1" w:themeShade="BF"/>
      <w:sz w:val="24"/>
      <w:szCs w:val="24"/>
    </w:rPr>
  </w:style>
  <w:style w:type="paragraph" w:styleId="ae">
    <w:name w:val="header"/>
    <w:basedOn w:val="a0"/>
    <w:link w:val="Char3"/>
    <w:uiPriority w:val="99"/>
    <w:unhideWhenUsed/>
    <w:rsid w:val="009801E6"/>
    <w:pPr>
      <w:tabs>
        <w:tab w:val="center" w:pos="4153"/>
        <w:tab w:val="right" w:pos="8306"/>
      </w:tabs>
      <w:spacing w:after="0" w:line="240" w:lineRule="auto"/>
    </w:pPr>
  </w:style>
  <w:style w:type="character" w:customStyle="1" w:styleId="Char3">
    <w:name w:val="Κεφαλίδα Char"/>
    <w:basedOn w:val="a1"/>
    <w:link w:val="ae"/>
    <w:uiPriority w:val="99"/>
    <w:rsid w:val="009801E6"/>
    <w:rPr>
      <w:sz w:val="24"/>
      <w:szCs w:val="24"/>
    </w:rPr>
  </w:style>
  <w:style w:type="paragraph" w:customStyle="1" w:styleId="Default">
    <w:name w:val="Default"/>
    <w:rsid w:val="009801E6"/>
    <w:pPr>
      <w:autoSpaceDE w:val="0"/>
      <w:autoSpaceDN w:val="0"/>
      <w:adjustRightInd w:val="0"/>
      <w:spacing w:after="0" w:line="240" w:lineRule="auto"/>
    </w:pPr>
    <w:rPr>
      <w:rFonts w:ascii="Cambria" w:hAnsi="Cambria" w:cs="Cambria"/>
      <w:color w:val="000000"/>
      <w:sz w:val="24"/>
      <w:szCs w:val="24"/>
    </w:rPr>
  </w:style>
  <w:style w:type="paragraph" w:styleId="a">
    <w:name w:val="TOC Heading"/>
    <w:basedOn w:val="1"/>
    <w:next w:val="a0"/>
    <w:uiPriority w:val="39"/>
    <w:unhideWhenUsed/>
    <w:qFormat/>
    <w:rsid w:val="009801E6"/>
    <w:pPr>
      <w:numPr>
        <w:numId w:val="19"/>
      </w:numPr>
      <w:ind w:hanging="720"/>
      <w:outlineLvl w:val="9"/>
    </w:pPr>
    <w:rPr>
      <w:lang w:eastAsia="el-GR"/>
    </w:rPr>
  </w:style>
  <w:style w:type="paragraph" w:styleId="10">
    <w:name w:val="toc 1"/>
    <w:basedOn w:val="a0"/>
    <w:next w:val="a0"/>
    <w:autoRedefine/>
    <w:uiPriority w:val="39"/>
    <w:unhideWhenUsed/>
    <w:rsid w:val="009801E6"/>
    <w:pPr>
      <w:tabs>
        <w:tab w:val="left" w:pos="426"/>
        <w:tab w:val="right" w:leader="dot" w:pos="8364"/>
      </w:tabs>
      <w:spacing w:after="100"/>
      <w:ind w:right="84"/>
    </w:pPr>
    <w:rPr>
      <w:b/>
      <w:noProof/>
    </w:rPr>
  </w:style>
  <w:style w:type="paragraph" w:styleId="20">
    <w:name w:val="toc 2"/>
    <w:basedOn w:val="a0"/>
    <w:next w:val="a0"/>
    <w:autoRedefine/>
    <w:uiPriority w:val="39"/>
    <w:unhideWhenUsed/>
    <w:rsid w:val="009801E6"/>
    <w:pPr>
      <w:tabs>
        <w:tab w:val="left" w:pos="1134"/>
        <w:tab w:val="right" w:leader="dot" w:pos="8364"/>
      </w:tabs>
      <w:spacing w:after="60"/>
      <w:ind w:left="1134" w:right="84" w:hanging="709"/>
    </w:pPr>
    <w:rPr>
      <w:noProof/>
    </w:rPr>
  </w:style>
  <w:style w:type="character" w:styleId="-">
    <w:name w:val="Hyperlink"/>
    <w:basedOn w:val="a1"/>
    <w:uiPriority w:val="99"/>
    <w:unhideWhenUsed/>
    <w:rsid w:val="009801E6"/>
    <w:rPr>
      <w:color w:val="0000FF" w:themeColor="hyperlink"/>
      <w:u w:val="single"/>
    </w:rPr>
  </w:style>
  <w:style w:type="paragraph" w:styleId="21">
    <w:name w:val="Body Text Indent 2"/>
    <w:basedOn w:val="a0"/>
    <w:link w:val="2Char0"/>
    <w:unhideWhenUsed/>
    <w:rsid w:val="009801E6"/>
    <w:pPr>
      <w:spacing w:line="360" w:lineRule="auto"/>
      <w:ind w:firstLine="720"/>
    </w:pPr>
    <w:rPr>
      <w:rFonts w:ascii="Times New Roman" w:eastAsia="Times New Roman" w:hAnsi="Times New Roman" w:cs="Times New Roman"/>
      <w:lang w:eastAsia="el-GR"/>
    </w:rPr>
  </w:style>
  <w:style w:type="character" w:customStyle="1" w:styleId="2Char0">
    <w:name w:val="Σώμα κείμενου με εσοχή 2 Char"/>
    <w:basedOn w:val="a1"/>
    <w:link w:val="21"/>
    <w:rsid w:val="009801E6"/>
    <w:rPr>
      <w:rFonts w:ascii="Times New Roman" w:eastAsia="Times New Roman" w:hAnsi="Times New Roman" w:cs="Times New Roman"/>
      <w:sz w:val="24"/>
      <w:szCs w:val="24"/>
      <w:lang w:eastAsia="el-GR"/>
    </w:rPr>
  </w:style>
  <w:style w:type="paragraph" w:styleId="af">
    <w:name w:val="Body Text"/>
    <w:basedOn w:val="a0"/>
    <w:link w:val="Char4"/>
    <w:uiPriority w:val="99"/>
    <w:unhideWhenUsed/>
    <w:rsid w:val="009801E6"/>
  </w:style>
  <w:style w:type="character" w:customStyle="1" w:styleId="Char4">
    <w:name w:val="Σώμα κειμένου Char"/>
    <w:basedOn w:val="a1"/>
    <w:link w:val="af"/>
    <w:uiPriority w:val="99"/>
    <w:rsid w:val="009801E6"/>
    <w:rPr>
      <w:sz w:val="24"/>
      <w:szCs w:val="24"/>
    </w:rPr>
  </w:style>
  <w:style w:type="table" w:customStyle="1" w:styleId="4-11">
    <w:name w:val="Πίνακας 4 με πλέγμα - Έμφαση 11"/>
    <w:basedOn w:val="a2"/>
    <w:uiPriority w:val="49"/>
    <w:rsid w:val="009801E6"/>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
    <w:name w:val="Ανοιχτόχρωμο πλέγμα - ΄Εμφαση 11"/>
    <w:basedOn w:val="a2"/>
    <w:uiPriority w:val="62"/>
    <w:rsid w:val="009801E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western">
    <w:name w:val="western"/>
    <w:basedOn w:val="a0"/>
    <w:rsid w:val="009801E6"/>
    <w:pPr>
      <w:spacing w:before="100" w:beforeAutospacing="1" w:after="100" w:afterAutospacing="1" w:line="240" w:lineRule="auto"/>
    </w:pPr>
    <w:rPr>
      <w:rFonts w:ascii="Times New Roman" w:eastAsia="Times New Roman" w:hAnsi="Times New Roman" w:cs="Times New Roman"/>
      <w:color w:val="000000"/>
      <w:lang w:eastAsia="el-GR"/>
    </w:rPr>
  </w:style>
  <w:style w:type="paragraph" w:styleId="af0">
    <w:name w:val="No Spacing"/>
    <w:link w:val="Char5"/>
    <w:uiPriority w:val="1"/>
    <w:qFormat/>
    <w:rsid w:val="009801E6"/>
    <w:pPr>
      <w:spacing w:after="0" w:line="240" w:lineRule="auto"/>
    </w:pPr>
    <w:rPr>
      <w:rFonts w:eastAsiaTheme="minorEastAsia"/>
      <w:lang w:eastAsia="el-GR"/>
    </w:rPr>
  </w:style>
  <w:style w:type="character" w:customStyle="1" w:styleId="Char5">
    <w:name w:val="Χωρίς διάστιχο Char"/>
    <w:basedOn w:val="a1"/>
    <w:link w:val="af0"/>
    <w:uiPriority w:val="1"/>
    <w:rsid w:val="009801E6"/>
    <w:rPr>
      <w:rFonts w:eastAsiaTheme="minorEastAsia"/>
      <w:lang w:eastAsia="el-GR"/>
    </w:rPr>
  </w:style>
  <w:style w:type="table" w:styleId="-5">
    <w:name w:val="Light Grid Accent 5"/>
    <w:basedOn w:val="a2"/>
    <w:uiPriority w:val="62"/>
    <w:rsid w:val="009801E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af1">
    <w:name w:val="annotation reference"/>
    <w:basedOn w:val="a1"/>
    <w:uiPriority w:val="99"/>
    <w:semiHidden/>
    <w:unhideWhenUsed/>
    <w:rsid w:val="009801E6"/>
    <w:rPr>
      <w:sz w:val="16"/>
      <w:szCs w:val="16"/>
    </w:rPr>
  </w:style>
  <w:style w:type="paragraph" w:styleId="af2">
    <w:name w:val="annotation text"/>
    <w:basedOn w:val="a0"/>
    <w:link w:val="Char6"/>
    <w:uiPriority w:val="99"/>
    <w:unhideWhenUsed/>
    <w:rsid w:val="009801E6"/>
    <w:pPr>
      <w:spacing w:line="240" w:lineRule="auto"/>
    </w:pPr>
    <w:rPr>
      <w:sz w:val="20"/>
      <w:szCs w:val="20"/>
    </w:rPr>
  </w:style>
  <w:style w:type="character" w:customStyle="1" w:styleId="Char6">
    <w:name w:val="Κείμενο σχολίου Char"/>
    <w:basedOn w:val="a1"/>
    <w:link w:val="af2"/>
    <w:uiPriority w:val="99"/>
    <w:rsid w:val="009801E6"/>
    <w:rPr>
      <w:sz w:val="20"/>
      <w:szCs w:val="20"/>
    </w:rPr>
  </w:style>
  <w:style w:type="character" w:customStyle="1" w:styleId="Char7">
    <w:name w:val="Θέμα σχολίου Char"/>
    <w:basedOn w:val="Char6"/>
    <w:link w:val="af3"/>
    <w:uiPriority w:val="99"/>
    <w:semiHidden/>
    <w:rsid w:val="009801E6"/>
    <w:rPr>
      <w:b/>
      <w:bCs/>
      <w:sz w:val="20"/>
      <w:szCs w:val="20"/>
    </w:rPr>
  </w:style>
  <w:style w:type="paragraph" w:styleId="af3">
    <w:name w:val="annotation subject"/>
    <w:basedOn w:val="af2"/>
    <w:next w:val="af2"/>
    <w:link w:val="Char7"/>
    <w:uiPriority w:val="99"/>
    <w:semiHidden/>
    <w:unhideWhenUsed/>
    <w:rsid w:val="009801E6"/>
    <w:rPr>
      <w:b/>
      <w:bCs/>
    </w:rPr>
  </w:style>
  <w:style w:type="character" w:customStyle="1" w:styleId="Char10">
    <w:name w:val="Θέμα σχολίου Char1"/>
    <w:basedOn w:val="Char6"/>
    <w:uiPriority w:val="99"/>
    <w:semiHidden/>
    <w:rsid w:val="009801E6"/>
    <w:rPr>
      <w:b/>
      <w:bCs/>
      <w:sz w:val="20"/>
      <w:szCs w:val="20"/>
    </w:rPr>
  </w:style>
  <w:style w:type="paragraph" w:styleId="af4">
    <w:name w:val="Subtitle"/>
    <w:basedOn w:val="a0"/>
    <w:next w:val="a0"/>
    <w:link w:val="Char8"/>
    <w:uiPriority w:val="11"/>
    <w:qFormat/>
    <w:rsid w:val="009801E6"/>
    <w:pPr>
      <w:numPr>
        <w:ilvl w:val="1"/>
      </w:numPr>
      <w:spacing w:after="160"/>
    </w:pPr>
    <w:rPr>
      <w:rFonts w:eastAsiaTheme="minorEastAsia"/>
      <w:color w:val="5A5A5A" w:themeColor="text1" w:themeTint="A5"/>
      <w:spacing w:val="15"/>
    </w:rPr>
  </w:style>
  <w:style w:type="character" w:customStyle="1" w:styleId="Char8">
    <w:name w:val="Υπότιτλος Char"/>
    <w:basedOn w:val="a1"/>
    <w:link w:val="af4"/>
    <w:uiPriority w:val="11"/>
    <w:rsid w:val="009801E6"/>
    <w:rPr>
      <w:rFonts w:eastAsiaTheme="minorEastAsia"/>
      <w:color w:val="5A5A5A" w:themeColor="text1" w:themeTint="A5"/>
      <w:spacing w:val="15"/>
      <w:sz w:val="24"/>
      <w:szCs w:val="24"/>
    </w:rPr>
  </w:style>
  <w:style w:type="character" w:customStyle="1" w:styleId="st">
    <w:name w:val="st"/>
    <w:basedOn w:val="a1"/>
    <w:rsid w:val="009801E6"/>
  </w:style>
  <w:style w:type="paragraph" w:styleId="30">
    <w:name w:val="toc 3"/>
    <w:basedOn w:val="a0"/>
    <w:next w:val="a0"/>
    <w:autoRedefine/>
    <w:uiPriority w:val="39"/>
    <w:unhideWhenUsed/>
    <w:rsid w:val="009801E6"/>
    <w:pPr>
      <w:tabs>
        <w:tab w:val="left" w:pos="1843"/>
        <w:tab w:val="right" w:leader="dot" w:pos="8364"/>
      </w:tabs>
      <w:spacing w:after="40"/>
      <w:ind w:left="1843" w:right="84" w:hanging="709"/>
    </w:pPr>
    <w:rPr>
      <w:noProof/>
      <w:sz w:val="22"/>
      <w:szCs w:val="22"/>
    </w:rPr>
  </w:style>
  <w:style w:type="paragraph" w:styleId="af5">
    <w:name w:val="table of figures"/>
    <w:basedOn w:val="a0"/>
    <w:next w:val="a0"/>
    <w:uiPriority w:val="99"/>
    <w:unhideWhenUsed/>
    <w:rsid w:val="009801E6"/>
    <w:pPr>
      <w:tabs>
        <w:tab w:val="left" w:pos="1701"/>
        <w:tab w:val="right" w:leader="dot" w:pos="8364"/>
      </w:tabs>
      <w:spacing w:after="0"/>
      <w:ind w:left="1701" w:right="226" w:hanging="1701"/>
    </w:pPr>
    <w:rPr>
      <w:noProof/>
      <w:sz w:val="22"/>
    </w:rPr>
  </w:style>
  <w:style w:type="table" w:styleId="-2">
    <w:name w:val="Light Shading Accent 2"/>
    <w:basedOn w:val="a2"/>
    <w:uiPriority w:val="60"/>
    <w:rsid w:val="009801E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2">
    <w:name w:val="Medium List 1 Accent 2"/>
    <w:basedOn w:val="a2"/>
    <w:uiPriority w:val="65"/>
    <w:rsid w:val="009801E6"/>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GridTable2-Accent61">
    <w:name w:val="Grid Table 2 - Accent 61"/>
    <w:basedOn w:val="a2"/>
    <w:uiPriority w:val="47"/>
    <w:rsid w:val="009801E6"/>
    <w:pPr>
      <w:spacing w:after="0" w:line="240" w:lineRule="auto"/>
    </w:p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a2"/>
    <w:uiPriority w:val="47"/>
    <w:rsid w:val="009801E6"/>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6">
    <w:name w:val="Intense Emphasis"/>
    <w:basedOn w:val="a1"/>
    <w:uiPriority w:val="21"/>
    <w:qFormat/>
    <w:rsid w:val="009801E6"/>
    <w:rPr>
      <w:iCs/>
      <w:color w:val="4F81BD" w:themeColor="accent1"/>
      <w:sz w:val="22"/>
      <w:szCs w:val="22"/>
    </w:rPr>
  </w:style>
  <w:style w:type="paragraph" w:customStyle="1" w:styleId="bullet">
    <w:name w:val="bullet"/>
    <w:basedOn w:val="a9"/>
    <w:qFormat/>
    <w:rsid w:val="009801E6"/>
    <w:pPr>
      <w:numPr>
        <w:numId w:val="40"/>
      </w:numPr>
      <w:tabs>
        <w:tab w:val="left" w:pos="851"/>
      </w:tabs>
      <w:spacing w:before="40" w:after="60" w:line="280" w:lineRule="exact"/>
      <w:contextualSpacing w:val="0"/>
    </w:pPr>
    <w:rPr>
      <w:rFonts w:ascii="Calibri" w:eastAsia="Times New Roman" w:hAnsi="Calibri" w:cs="Times New Roman"/>
      <w:szCs w:val="22"/>
    </w:rPr>
  </w:style>
  <w:style w:type="paragraph" w:styleId="af7">
    <w:name w:val="Quote"/>
    <w:basedOn w:val="a0"/>
    <w:next w:val="a0"/>
    <w:link w:val="Char9"/>
    <w:uiPriority w:val="29"/>
    <w:rsid w:val="009801E6"/>
    <w:pPr>
      <w:spacing w:line="280" w:lineRule="exact"/>
      <w:ind w:right="509"/>
    </w:pPr>
    <w:rPr>
      <w:b/>
      <w:i/>
      <w:iCs/>
      <w:color w:val="000000" w:themeColor="text1"/>
      <w:sz w:val="32"/>
      <w:szCs w:val="32"/>
    </w:rPr>
  </w:style>
  <w:style w:type="character" w:customStyle="1" w:styleId="Char9">
    <w:name w:val="Απόσπασμα Char"/>
    <w:basedOn w:val="a1"/>
    <w:link w:val="af7"/>
    <w:uiPriority w:val="29"/>
    <w:rsid w:val="009801E6"/>
    <w:rPr>
      <w:b/>
      <w:i/>
      <w:iCs/>
      <w:color w:val="000000" w:themeColor="text1"/>
      <w:sz w:val="32"/>
      <w:szCs w:val="32"/>
    </w:rPr>
  </w:style>
  <w:style w:type="paragraph" w:customStyle="1" w:styleId="Notes">
    <w:name w:val="Notes"/>
    <w:basedOn w:val="a0"/>
    <w:qFormat/>
    <w:rsid w:val="009801E6"/>
    <w:pPr>
      <w:spacing w:line="200" w:lineRule="exact"/>
      <w:jc w:val="left"/>
    </w:pPr>
    <w:rPr>
      <w:rFonts w:ascii="Arial Narrow" w:hAnsi="Arial Narrow" w:cs="Times New Roman"/>
      <w:bCs/>
      <w:sz w:val="20"/>
      <w:szCs w:val="20"/>
    </w:rPr>
  </w:style>
  <w:style w:type="paragraph" w:customStyle="1" w:styleId="tableheader">
    <w:name w:val="table header"/>
    <w:basedOn w:val="table"/>
    <w:qFormat/>
    <w:rsid w:val="009801E6"/>
    <w:pPr>
      <w:spacing w:before="20" w:after="20" w:line="240" w:lineRule="exact"/>
    </w:pPr>
    <w:rPr>
      <w:b/>
    </w:rPr>
  </w:style>
  <w:style w:type="paragraph" w:customStyle="1" w:styleId="table">
    <w:name w:val="table"/>
    <w:qFormat/>
    <w:rsid w:val="009801E6"/>
    <w:pPr>
      <w:spacing w:after="0" w:line="200" w:lineRule="exact"/>
      <w:jc w:val="center"/>
    </w:pPr>
    <w:rPr>
      <w:rFonts w:ascii="Arial Narrow" w:hAnsi="Arial Narrow" w:cs="Times New Roman"/>
      <w:bCs/>
      <w:sz w:val="20"/>
      <w:szCs w:val="20"/>
    </w:rPr>
  </w:style>
  <w:style w:type="table" w:styleId="-6">
    <w:name w:val="Light Grid Accent 6"/>
    <w:basedOn w:val="a2"/>
    <w:uiPriority w:val="62"/>
    <w:rsid w:val="009801E6"/>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_____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CLOUD\transfer\Copy%20of%20g.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030960865884399E-2"/>
          <c:y val="4.2112932635546045E-2"/>
          <c:w val="0.74149853188865822"/>
          <c:h val="0.89538431872693147"/>
        </c:manualLayout>
      </c:layout>
      <c:lineChart>
        <c:grouping val="standard"/>
        <c:ser>
          <c:idx val="37"/>
          <c:order val="0"/>
          <c:tx>
            <c:strRef>
              <c:f>OECD!$B$40</c:f>
              <c:strCache>
                <c:ptCount val="1"/>
                <c:pt idx="0">
                  <c:v>Δανία [μέγιστο]</c:v>
                </c:pt>
              </c:strCache>
            </c:strRef>
          </c:tx>
          <c:spPr>
            <a:ln w="31750" cap="rnd">
              <a:solidFill>
                <a:srgbClr val="C00000"/>
              </a:solidFill>
              <a:round/>
            </a:ln>
            <a:effectLst/>
          </c:spPr>
          <c:marker>
            <c:symbol val="circle"/>
            <c:size val="14"/>
            <c:spPr>
              <a:solidFill>
                <a:srgbClr val="C00000"/>
              </a:solidFill>
              <a:ln>
                <a:noFill/>
              </a:ln>
              <a:effectLst/>
            </c:spPr>
          </c:marker>
          <c:dLbls>
            <c:spPr>
              <a:noFill/>
              <a:ln>
                <a:noFill/>
              </a:ln>
              <a:effectLst/>
            </c:spPr>
            <c:txPr>
              <a:bodyPr rot="0" vert="horz"/>
              <a:lstStyle/>
              <a:p>
                <a:pPr>
                  <a:defRPr sz="600">
                    <a:solidFill>
                      <a:schemeClr val="bg1"/>
                    </a:solidFill>
                  </a:defRPr>
                </a:pPr>
                <a:endParaRPr lang="el-G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OECD!$C$3:$Q$3</c:f>
              <c:numCache>
                <c:formatCode>@</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OECD!$C$40:$Q$40</c:f>
              <c:numCache>
                <c:formatCode>0.0</c:formatCode>
                <c:ptCount val="15"/>
                <c:pt idx="0">
                  <c:v>46.875</c:v>
                </c:pt>
                <c:pt idx="1">
                  <c:v>45.919000000000004</c:v>
                </c:pt>
                <c:pt idx="2">
                  <c:v>45.405000000000001</c:v>
                </c:pt>
                <c:pt idx="3">
                  <c:v>45.583000000000006</c:v>
                </c:pt>
                <c:pt idx="4">
                  <c:v>46.417000000000002</c:v>
                </c:pt>
                <c:pt idx="5">
                  <c:v>47.988</c:v>
                </c:pt>
                <c:pt idx="6">
                  <c:v>46.449000000000005</c:v>
                </c:pt>
                <c:pt idx="7">
                  <c:v>46.414000000000001</c:v>
                </c:pt>
                <c:pt idx="8">
                  <c:v>44.863</c:v>
                </c:pt>
                <c:pt idx="9">
                  <c:v>45.171000000000006</c:v>
                </c:pt>
                <c:pt idx="10">
                  <c:v>45.323</c:v>
                </c:pt>
                <c:pt idx="11">
                  <c:v>45.376000000000005</c:v>
                </c:pt>
                <c:pt idx="12">
                  <c:v>46.392000000000003</c:v>
                </c:pt>
                <c:pt idx="13">
                  <c:v>47.6</c:v>
                </c:pt>
                <c:pt idx="14">
                  <c:v>50.881999999999998</c:v>
                </c:pt>
              </c:numCache>
            </c:numRef>
          </c:val>
          <c:extLst xmlns:c16r2="http://schemas.microsoft.com/office/drawing/2015/06/chart">
            <c:ext xmlns:c16="http://schemas.microsoft.com/office/drawing/2014/chart" uri="{C3380CC4-5D6E-409C-BE32-E72D297353CC}">
              <c16:uniqueId val="{00000000-5F7D-425E-A3DA-4417A929CF66}"/>
            </c:ext>
          </c:extLst>
        </c:ser>
        <c:ser>
          <c:idx val="41"/>
          <c:order val="1"/>
          <c:tx>
            <c:strRef>
              <c:f>OECD!$B$44</c:f>
              <c:strCache>
                <c:ptCount val="1"/>
                <c:pt idx="0">
                  <c:v>Γαλλία</c:v>
                </c:pt>
              </c:strCache>
            </c:strRef>
          </c:tx>
          <c:spPr>
            <a:ln w="12700" cap="rnd">
              <a:solidFill>
                <a:srgbClr val="00B0F0"/>
              </a:solidFill>
              <a:round/>
            </a:ln>
            <a:effectLst/>
          </c:spPr>
          <c:marker>
            <c:symbol val="circle"/>
            <c:size val="7"/>
            <c:spPr>
              <a:solidFill>
                <a:srgbClr val="00B0F0"/>
              </a:solidFill>
              <a:ln>
                <a:noFill/>
              </a:ln>
              <a:effectLst/>
            </c:spPr>
          </c:marker>
          <c:dLbls>
            <c:delete val="1"/>
          </c:dLbls>
          <c:cat>
            <c:numRef>
              <c:f>OECD!$C$3:$Q$3</c:f>
              <c:numCache>
                <c:formatCode>@</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OECD!$C$44:$Q$44</c:f>
              <c:numCache>
                <c:formatCode>0.0</c:formatCode>
                <c:ptCount val="15"/>
                <c:pt idx="0">
                  <c:v>43.05</c:v>
                </c:pt>
                <c:pt idx="1">
                  <c:v>42.691000000000003</c:v>
                </c:pt>
                <c:pt idx="2">
                  <c:v>42.133000000000003</c:v>
                </c:pt>
                <c:pt idx="3">
                  <c:v>42.043000000000006</c:v>
                </c:pt>
                <c:pt idx="4">
                  <c:v>42.179000000000002</c:v>
                </c:pt>
                <c:pt idx="5">
                  <c:v>42.781000000000006</c:v>
                </c:pt>
                <c:pt idx="6">
                  <c:v>43.09</c:v>
                </c:pt>
                <c:pt idx="7">
                  <c:v>42.386000000000003</c:v>
                </c:pt>
                <c:pt idx="8">
                  <c:v>42.184000000000005</c:v>
                </c:pt>
                <c:pt idx="9">
                  <c:v>41.323</c:v>
                </c:pt>
                <c:pt idx="10">
                  <c:v>41.577000000000005</c:v>
                </c:pt>
                <c:pt idx="11">
                  <c:v>42.863</c:v>
                </c:pt>
                <c:pt idx="12">
                  <c:v>44.127000000000002</c:v>
                </c:pt>
                <c:pt idx="13">
                  <c:v>45.032000000000011</c:v>
                </c:pt>
                <c:pt idx="14">
                  <c:v>45.216000000000001</c:v>
                </c:pt>
              </c:numCache>
            </c:numRef>
          </c:val>
          <c:extLst xmlns:c16r2="http://schemas.microsoft.com/office/drawing/2015/06/chart">
            <c:ext xmlns:c16="http://schemas.microsoft.com/office/drawing/2014/chart" uri="{C3380CC4-5D6E-409C-BE32-E72D297353CC}">
              <c16:uniqueId val="{00000001-5F7D-425E-A3DA-4417A929CF66}"/>
            </c:ext>
          </c:extLst>
        </c:ser>
        <c:ser>
          <c:idx val="42"/>
          <c:order val="2"/>
          <c:tx>
            <c:strRef>
              <c:f>OECD!$B$45</c:f>
              <c:strCache>
                <c:ptCount val="1"/>
                <c:pt idx="0">
                  <c:v>Ιταλία</c:v>
                </c:pt>
              </c:strCache>
            </c:strRef>
          </c:tx>
          <c:spPr>
            <a:ln w="12700" cap="rnd">
              <a:solidFill>
                <a:srgbClr val="FF0000"/>
              </a:solidFill>
              <a:round/>
            </a:ln>
            <a:effectLst/>
          </c:spPr>
          <c:marker>
            <c:symbol val="circle"/>
            <c:size val="7"/>
            <c:spPr>
              <a:solidFill>
                <a:srgbClr val="FF0000"/>
              </a:solidFill>
              <a:ln>
                <a:noFill/>
              </a:ln>
              <a:effectLst/>
            </c:spPr>
          </c:marker>
          <c:dLbls>
            <c:delete val="1"/>
          </c:dLbls>
          <c:cat>
            <c:numRef>
              <c:f>OECD!$C$3:$Q$3</c:f>
              <c:numCache>
                <c:formatCode>@</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OECD!$C$45:$Q$45</c:f>
              <c:numCache>
                <c:formatCode>0.0</c:formatCode>
                <c:ptCount val="15"/>
                <c:pt idx="0">
                  <c:v>40.58</c:v>
                </c:pt>
                <c:pt idx="1">
                  <c:v>40.281000000000006</c:v>
                </c:pt>
                <c:pt idx="2">
                  <c:v>39.734000000000002</c:v>
                </c:pt>
                <c:pt idx="3">
                  <c:v>40.050000000000004</c:v>
                </c:pt>
                <c:pt idx="4">
                  <c:v>39.313999999999993</c:v>
                </c:pt>
                <c:pt idx="5">
                  <c:v>39.131</c:v>
                </c:pt>
                <c:pt idx="6">
                  <c:v>40.555</c:v>
                </c:pt>
                <c:pt idx="7">
                  <c:v>41.681000000000004</c:v>
                </c:pt>
                <c:pt idx="8">
                  <c:v>41.608000000000011</c:v>
                </c:pt>
                <c:pt idx="9">
                  <c:v>42.06</c:v>
                </c:pt>
                <c:pt idx="10">
                  <c:v>41.838000000000001</c:v>
                </c:pt>
                <c:pt idx="11">
                  <c:v>41.883000000000003</c:v>
                </c:pt>
                <c:pt idx="12">
                  <c:v>43.875</c:v>
                </c:pt>
                <c:pt idx="13">
                  <c:v>43.88</c:v>
                </c:pt>
                <c:pt idx="14">
                  <c:v>43.636000000000003</c:v>
                </c:pt>
              </c:numCache>
            </c:numRef>
          </c:val>
          <c:extLst xmlns:c16r2="http://schemas.microsoft.com/office/drawing/2015/06/chart">
            <c:ext xmlns:c16="http://schemas.microsoft.com/office/drawing/2014/chart" uri="{C3380CC4-5D6E-409C-BE32-E72D297353CC}">
              <c16:uniqueId val="{00000002-5F7D-425E-A3DA-4417A929CF66}"/>
            </c:ext>
          </c:extLst>
        </c:ser>
        <c:ser>
          <c:idx val="40"/>
          <c:order val="3"/>
          <c:tx>
            <c:strRef>
              <c:f>OECD!$B$43</c:f>
              <c:strCache>
                <c:ptCount val="1"/>
                <c:pt idx="0">
                  <c:v>Γερμανία</c:v>
                </c:pt>
              </c:strCache>
            </c:strRef>
          </c:tx>
          <c:spPr>
            <a:ln w="12700" cap="rnd">
              <a:solidFill>
                <a:schemeClr val="accent2">
                  <a:lumMod val="75000"/>
                </a:schemeClr>
              </a:solidFill>
              <a:round/>
            </a:ln>
            <a:effectLst/>
          </c:spPr>
          <c:marker>
            <c:symbol val="circle"/>
            <c:size val="7"/>
            <c:spPr>
              <a:solidFill>
                <a:schemeClr val="accent2">
                  <a:lumMod val="75000"/>
                </a:schemeClr>
              </a:solidFill>
              <a:ln>
                <a:noFill/>
              </a:ln>
              <a:effectLst/>
            </c:spPr>
          </c:marker>
          <c:dLbls>
            <c:delete val="1"/>
          </c:dLbls>
          <c:cat>
            <c:numRef>
              <c:f>OECD!$C$3:$Q$3</c:f>
              <c:numCache>
                <c:formatCode>@</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OECD!$C$43:$Q$43</c:f>
              <c:numCache>
                <c:formatCode>0.0</c:formatCode>
                <c:ptCount val="15"/>
                <c:pt idx="0">
                  <c:v>36.242000000000012</c:v>
                </c:pt>
                <c:pt idx="1">
                  <c:v>35.009</c:v>
                </c:pt>
                <c:pt idx="2">
                  <c:v>34.383999999999993</c:v>
                </c:pt>
                <c:pt idx="3">
                  <c:v>34.611000000000004</c:v>
                </c:pt>
                <c:pt idx="4">
                  <c:v>33.86</c:v>
                </c:pt>
                <c:pt idx="5">
                  <c:v>33.870000000000005</c:v>
                </c:pt>
                <c:pt idx="6">
                  <c:v>34.489000000000004</c:v>
                </c:pt>
                <c:pt idx="7">
                  <c:v>34.889000000000003</c:v>
                </c:pt>
                <c:pt idx="8">
                  <c:v>35.406000000000006</c:v>
                </c:pt>
                <c:pt idx="9">
                  <c:v>36.089000000000006</c:v>
                </c:pt>
                <c:pt idx="10">
                  <c:v>34.979000000000006</c:v>
                </c:pt>
                <c:pt idx="11">
                  <c:v>35.697000000000003</c:v>
                </c:pt>
                <c:pt idx="12">
                  <c:v>36.380999999999993</c:v>
                </c:pt>
                <c:pt idx="13">
                  <c:v>36.525000000000013</c:v>
                </c:pt>
                <c:pt idx="14">
                  <c:v>36.133000000000003</c:v>
                </c:pt>
              </c:numCache>
            </c:numRef>
          </c:val>
          <c:extLst xmlns:c16r2="http://schemas.microsoft.com/office/drawing/2015/06/chart">
            <c:ext xmlns:c16="http://schemas.microsoft.com/office/drawing/2014/chart" uri="{C3380CC4-5D6E-409C-BE32-E72D297353CC}">
              <c16:uniqueId val="{00000003-5F7D-425E-A3DA-4417A929CF66}"/>
            </c:ext>
          </c:extLst>
        </c:ser>
        <c:ser>
          <c:idx val="39"/>
          <c:order val="4"/>
          <c:tx>
            <c:strRef>
              <c:f>OECD!$B$42</c:f>
              <c:strCache>
                <c:ptCount val="1"/>
                <c:pt idx="0">
                  <c:v>Ελλάδα</c:v>
                </c:pt>
              </c:strCache>
            </c:strRef>
          </c:tx>
          <c:spPr>
            <a:ln w="31750" cap="rnd">
              <a:solidFill>
                <a:schemeClr val="accent1">
                  <a:lumMod val="75000"/>
                </a:schemeClr>
              </a:solidFill>
              <a:round/>
            </a:ln>
            <a:effectLst/>
          </c:spPr>
          <c:marker>
            <c:symbol val="circle"/>
            <c:size val="14"/>
            <c:spPr>
              <a:solidFill>
                <a:schemeClr val="accent1">
                  <a:lumMod val="75000"/>
                </a:schemeClr>
              </a:solidFill>
              <a:ln>
                <a:noFill/>
              </a:ln>
              <a:effectLst/>
            </c:spPr>
          </c:marker>
          <c:dLbls>
            <c:dLbl>
              <c:idx val="11"/>
              <c:layout>
                <c:manualLayout>
                  <c:x val="-3.1719907448926637E-2"/>
                  <c:y val="-7.3846139533152904E-3"/>
                </c:manualLayout>
              </c:layout>
              <c:dLblPos val="r"/>
              <c:showVal val="1"/>
              <c:extLst xmlns:c16r2="http://schemas.microsoft.com/office/drawing/2015/06/chart">
                <c:ext xmlns:c16="http://schemas.microsoft.com/office/drawing/2014/chart" uri="{C3380CC4-5D6E-409C-BE32-E72D297353CC}">
                  <c16:uniqueId val="{00000004-5F7D-425E-A3DA-4417A929CF66}"/>
                </c:ext>
                <c:ext xmlns:c15="http://schemas.microsoft.com/office/drawing/2012/chart" uri="{CE6537A1-D6FC-4f65-9D91-7224C49458BB}"/>
              </c:extLst>
            </c:dLbl>
            <c:dLbl>
              <c:idx val="12"/>
              <c:layout>
                <c:manualLayout>
                  <c:x val="-3.8622095953810213E-2"/>
                  <c:y val="-5.3704148497467855E-3"/>
                </c:manualLayout>
              </c:layout>
              <c:dLblPos val="r"/>
              <c:showVal val="1"/>
              <c:extLst xmlns:c16r2="http://schemas.microsoft.com/office/drawing/2015/06/chart">
                <c:ext xmlns:c16="http://schemas.microsoft.com/office/drawing/2014/chart" uri="{C3380CC4-5D6E-409C-BE32-E72D297353CC}">
                  <c16:uniqueId val="{00000005-5F7D-425E-A3DA-4417A929CF66}"/>
                </c:ext>
                <c:ext xmlns:c15="http://schemas.microsoft.com/office/drawing/2012/chart" uri="{CE6537A1-D6FC-4f65-9D91-7224C49458BB}"/>
              </c:extLst>
            </c:dLbl>
            <c:dLbl>
              <c:idx val="13"/>
              <c:layout>
                <c:manualLayout>
                  <c:x val="-4.2014953951384527E-2"/>
                  <c:y val="-8.2238724369781014E-3"/>
                </c:manualLayout>
              </c:layout>
              <c:dLblPos val="r"/>
              <c:showVal val="1"/>
              <c:extLst xmlns:c16r2="http://schemas.microsoft.com/office/drawing/2015/06/chart">
                <c:ext xmlns:c16="http://schemas.microsoft.com/office/drawing/2014/chart" uri="{C3380CC4-5D6E-409C-BE32-E72D297353CC}">
                  <c16:uniqueId val="{00000006-5F7D-425E-A3DA-4417A929CF66}"/>
                </c:ext>
                <c:ext xmlns:c15="http://schemas.microsoft.com/office/drawing/2012/chart" uri="{CE6537A1-D6FC-4f65-9D91-7224C49458BB}"/>
              </c:extLst>
            </c:dLbl>
            <c:dLbl>
              <c:idx val="14"/>
              <c:layout>
                <c:manualLayout>
                  <c:x val="-4.6805761619810496E-2"/>
                  <c:y val="3.4507317364881976E-4"/>
                </c:manualLayout>
              </c:layout>
              <c:dLblPos val="r"/>
              <c:showVal val="1"/>
              <c:extLst xmlns:c16r2="http://schemas.microsoft.com/office/drawing/2015/06/chart">
                <c:ext xmlns:c16="http://schemas.microsoft.com/office/drawing/2014/chart" uri="{C3380CC4-5D6E-409C-BE32-E72D297353CC}">
                  <c16:uniqueId val="{00000007-5F7D-425E-A3DA-4417A929CF66}"/>
                </c:ext>
                <c:ext xmlns:c15="http://schemas.microsoft.com/office/drawing/2012/chart" uri="{CE6537A1-D6FC-4f65-9D91-7224C49458BB}"/>
              </c:extLst>
            </c:dLbl>
            <c:spPr>
              <a:noFill/>
              <a:ln>
                <a:noFill/>
              </a:ln>
              <a:effectLst/>
            </c:spPr>
            <c:txPr>
              <a:bodyPr rot="0" vert="horz"/>
              <a:lstStyle/>
              <a:p>
                <a:pPr>
                  <a:defRPr>
                    <a:solidFill>
                      <a:schemeClr val="bg1"/>
                    </a:solidFill>
                  </a:defRPr>
                </a:pPr>
                <a:endParaRPr lang="el-G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OECD!$C$3:$Q$3</c:f>
              <c:numCache>
                <c:formatCode>@</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OECD!$C$42:$Q$42</c:f>
              <c:numCache>
                <c:formatCode>0.0</c:formatCode>
                <c:ptCount val="15"/>
                <c:pt idx="0">
                  <c:v>33.244</c:v>
                </c:pt>
                <c:pt idx="1">
                  <c:v>32.028000000000013</c:v>
                </c:pt>
                <c:pt idx="2">
                  <c:v>32.478000000000002</c:v>
                </c:pt>
                <c:pt idx="3">
                  <c:v>30.971</c:v>
                </c:pt>
                <c:pt idx="4">
                  <c:v>30.024999999999999</c:v>
                </c:pt>
                <c:pt idx="5">
                  <c:v>31.225999999999964</c:v>
                </c:pt>
                <c:pt idx="6">
                  <c:v>30.330000000000005</c:v>
                </c:pt>
                <c:pt idx="7">
                  <c:v>31.166</c:v>
                </c:pt>
                <c:pt idx="8">
                  <c:v>30.962999999999951</c:v>
                </c:pt>
                <c:pt idx="9">
                  <c:v>30.806999999999999</c:v>
                </c:pt>
                <c:pt idx="10">
                  <c:v>32.043000000000006</c:v>
                </c:pt>
                <c:pt idx="11">
                  <c:v>33.543000000000006</c:v>
                </c:pt>
                <c:pt idx="12">
                  <c:v>34.545000000000002</c:v>
                </c:pt>
                <c:pt idx="13">
                  <c:v>34.425000000000011</c:v>
                </c:pt>
                <c:pt idx="14">
                  <c:v>35.904000000000003</c:v>
                </c:pt>
              </c:numCache>
            </c:numRef>
          </c:val>
          <c:extLst xmlns:c16r2="http://schemas.microsoft.com/office/drawing/2015/06/chart">
            <c:ext xmlns:c16="http://schemas.microsoft.com/office/drawing/2014/chart" uri="{C3380CC4-5D6E-409C-BE32-E72D297353CC}">
              <c16:uniqueId val="{00000008-5F7D-425E-A3DA-4417A929CF66}"/>
            </c:ext>
          </c:extLst>
        </c:ser>
        <c:ser>
          <c:idx val="38"/>
          <c:order val="5"/>
          <c:tx>
            <c:strRef>
              <c:f>OECD!$B$41</c:f>
              <c:strCache>
                <c:ptCount val="1"/>
                <c:pt idx="0">
                  <c:v>ΟΟΣΑ [μέσος όρος]</c:v>
                </c:pt>
              </c:strCache>
            </c:strRef>
          </c:tx>
          <c:spPr>
            <a:ln w="31750" cap="rnd">
              <a:solidFill>
                <a:schemeClr val="accent4">
                  <a:lumMod val="50000"/>
                </a:schemeClr>
              </a:solidFill>
              <a:round/>
            </a:ln>
            <a:effectLst/>
          </c:spPr>
          <c:marker>
            <c:symbol val="circle"/>
            <c:size val="14"/>
            <c:spPr>
              <a:solidFill>
                <a:schemeClr val="accent4">
                  <a:lumMod val="50000"/>
                </a:schemeClr>
              </a:solidFill>
              <a:ln>
                <a:noFill/>
              </a:ln>
              <a:effectLst/>
            </c:spPr>
          </c:marker>
          <c:dLbls>
            <c:dLbl>
              <c:idx val="13"/>
              <c:layout>
                <c:manualLayout>
                  <c:x val="-4.3536321343125857E-2"/>
                  <c:y val="3.112225630967047E-3"/>
                </c:manualLayout>
              </c:layout>
              <c:dLblPos val="r"/>
              <c:showVal val="1"/>
              <c:extLst xmlns:c16r2="http://schemas.microsoft.com/office/drawing/2015/06/chart">
                <c:ext xmlns:c16="http://schemas.microsoft.com/office/drawing/2014/chart" uri="{C3380CC4-5D6E-409C-BE32-E72D297353CC}">
                  <c16:uniqueId val="{00000009-5F7D-425E-A3DA-4417A929CF66}"/>
                </c:ext>
                <c:ext xmlns:c15="http://schemas.microsoft.com/office/drawing/2012/chart" uri="{CE6537A1-D6FC-4f65-9D91-7224C49458BB}"/>
              </c:extLst>
            </c:dLbl>
            <c:spPr>
              <a:noFill/>
              <a:ln>
                <a:noFill/>
              </a:ln>
              <a:effectLst/>
            </c:spPr>
            <c:txPr>
              <a:bodyPr rot="0" vert="horz"/>
              <a:lstStyle/>
              <a:p>
                <a:pPr>
                  <a:defRPr sz="600">
                    <a:solidFill>
                      <a:schemeClr val="bg1">
                        <a:lumMod val="95000"/>
                      </a:schemeClr>
                    </a:solidFill>
                  </a:defRPr>
                </a:pPr>
                <a:endParaRPr lang="el-G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OECD!$C$3:$Q$3</c:f>
              <c:numCache>
                <c:formatCode>@</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OECD!$C$41:$Q$41</c:f>
              <c:numCache>
                <c:formatCode>0.0</c:formatCode>
                <c:ptCount val="15"/>
                <c:pt idx="0">
                  <c:v>34.245000000000012</c:v>
                </c:pt>
                <c:pt idx="1">
                  <c:v>33.789000000000001</c:v>
                </c:pt>
                <c:pt idx="2">
                  <c:v>33.5</c:v>
                </c:pt>
                <c:pt idx="3">
                  <c:v>33.457000000000001</c:v>
                </c:pt>
                <c:pt idx="4">
                  <c:v>33.4</c:v>
                </c:pt>
                <c:pt idx="5">
                  <c:v>33.936</c:v>
                </c:pt>
                <c:pt idx="6">
                  <c:v>34.059000000000005</c:v>
                </c:pt>
                <c:pt idx="7">
                  <c:v>34.103000000000002</c:v>
                </c:pt>
                <c:pt idx="8">
                  <c:v>33.561</c:v>
                </c:pt>
                <c:pt idx="9">
                  <c:v>32.68</c:v>
                </c:pt>
                <c:pt idx="10">
                  <c:v>32.831000000000003</c:v>
                </c:pt>
                <c:pt idx="11">
                  <c:v>33.294000000000011</c:v>
                </c:pt>
                <c:pt idx="12">
                  <c:v>33.790000000000013</c:v>
                </c:pt>
                <c:pt idx="13">
                  <c:v>34.155000000000001</c:v>
                </c:pt>
              </c:numCache>
            </c:numRef>
          </c:val>
          <c:extLst xmlns:c16r2="http://schemas.microsoft.com/office/drawing/2015/06/chart">
            <c:ext xmlns:c16="http://schemas.microsoft.com/office/drawing/2014/chart" uri="{C3380CC4-5D6E-409C-BE32-E72D297353CC}">
              <c16:uniqueId val="{0000000A-5F7D-425E-A3DA-4417A929CF66}"/>
            </c:ext>
          </c:extLst>
        </c:ser>
        <c:ser>
          <c:idx val="44"/>
          <c:order val="6"/>
          <c:tx>
            <c:strRef>
              <c:f>OECD!$B$47</c:f>
              <c:strCache>
                <c:ptCount val="1"/>
                <c:pt idx="0">
                  <c:v>Πορτογαλία</c:v>
                </c:pt>
              </c:strCache>
            </c:strRef>
          </c:tx>
          <c:spPr>
            <a:ln w="12700" cap="rnd">
              <a:solidFill>
                <a:srgbClr val="EA6CC9"/>
              </a:solidFill>
              <a:round/>
            </a:ln>
            <a:effectLst/>
          </c:spPr>
          <c:marker>
            <c:symbol val="circle"/>
            <c:size val="7"/>
            <c:spPr>
              <a:solidFill>
                <a:srgbClr val="EA6CC9"/>
              </a:solidFill>
              <a:ln>
                <a:noFill/>
              </a:ln>
              <a:effectLst/>
            </c:spPr>
          </c:marker>
          <c:dLbls>
            <c:delete val="1"/>
          </c:dLbls>
          <c:cat>
            <c:numRef>
              <c:f>OECD!$C$3:$Q$3</c:f>
              <c:numCache>
                <c:formatCode>@</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OECD!$C$47:$Q$47</c:f>
              <c:numCache>
                <c:formatCode>0.0</c:formatCode>
                <c:ptCount val="15"/>
                <c:pt idx="0">
                  <c:v>31.175000000000001</c:v>
                </c:pt>
                <c:pt idx="1">
                  <c:v>30.946999999999989</c:v>
                </c:pt>
                <c:pt idx="2">
                  <c:v>31.36</c:v>
                </c:pt>
                <c:pt idx="3">
                  <c:v>31.456</c:v>
                </c:pt>
                <c:pt idx="4">
                  <c:v>30.264999999999986</c:v>
                </c:pt>
                <c:pt idx="5">
                  <c:v>30.937999999999999</c:v>
                </c:pt>
                <c:pt idx="6">
                  <c:v>31.485999999999951</c:v>
                </c:pt>
                <c:pt idx="7">
                  <c:v>31.997999999999987</c:v>
                </c:pt>
                <c:pt idx="8">
                  <c:v>31.896000000000001</c:v>
                </c:pt>
                <c:pt idx="9">
                  <c:v>30.048999999999989</c:v>
                </c:pt>
                <c:pt idx="10">
                  <c:v>30.591999999999999</c:v>
                </c:pt>
                <c:pt idx="11">
                  <c:v>32.504000000000005</c:v>
                </c:pt>
                <c:pt idx="12">
                  <c:v>31.984999999999989</c:v>
                </c:pt>
                <c:pt idx="13">
                  <c:v>34.506</c:v>
                </c:pt>
                <c:pt idx="14">
                  <c:v>34.439</c:v>
                </c:pt>
              </c:numCache>
            </c:numRef>
          </c:val>
          <c:extLst xmlns:c16r2="http://schemas.microsoft.com/office/drawing/2015/06/chart">
            <c:ext xmlns:c16="http://schemas.microsoft.com/office/drawing/2014/chart" uri="{C3380CC4-5D6E-409C-BE32-E72D297353CC}">
              <c16:uniqueId val="{0000000B-5F7D-425E-A3DA-4417A929CF66}"/>
            </c:ext>
          </c:extLst>
        </c:ser>
        <c:ser>
          <c:idx val="43"/>
          <c:order val="7"/>
          <c:tx>
            <c:strRef>
              <c:f>OECD!$B$46</c:f>
              <c:strCache>
                <c:ptCount val="1"/>
                <c:pt idx="0">
                  <c:v>Ισπανία</c:v>
                </c:pt>
              </c:strCache>
            </c:strRef>
          </c:tx>
          <c:spPr>
            <a:ln w="12700" cap="rnd">
              <a:solidFill>
                <a:srgbClr val="FFC000"/>
              </a:solidFill>
              <a:round/>
            </a:ln>
            <a:effectLst/>
          </c:spPr>
          <c:marker>
            <c:symbol val="circle"/>
            <c:size val="7"/>
            <c:spPr>
              <a:solidFill>
                <a:srgbClr val="FFC000"/>
              </a:solidFill>
              <a:ln>
                <a:noFill/>
              </a:ln>
              <a:effectLst/>
            </c:spPr>
          </c:marker>
          <c:dLbls>
            <c:delete val="1"/>
          </c:dLbls>
          <c:cat>
            <c:numRef>
              <c:f>OECD!$C$3:$Q$3</c:f>
              <c:numCache>
                <c:formatCode>@</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OECD!$C$46:$Q$46</c:f>
              <c:numCache>
                <c:formatCode>0.0</c:formatCode>
                <c:ptCount val="15"/>
                <c:pt idx="0">
                  <c:v>33.407000000000004</c:v>
                </c:pt>
                <c:pt idx="1">
                  <c:v>33.041000000000004</c:v>
                </c:pt>
                <c:pt idx="2">
                  <c:v>33.395000000000003</c:v>
                </c:pt>
                <c:pt idx="3">
                  <c:v>33.323</c:v>
                </c:pt>
                <c:pt idx="4">
                  <c:v>34.283000000000001</c:v>
                </c:pt>
                <c:pt idx="5">
                  <c:v>35.308</c:v>
                </c:pt>
                <c:pt idx="6">
                  <c:v>36.105000000000011</c:v>
                </c:pt>
                <c:pt idx="7">
                  <c:v>36.53</c:v>
                </c:pt>
                <c:pt idx="8">
                  <c:v>32.307000000000002</c:v>
                </c:pt>
                <c:pt idx="9">
                  <c:v>29.956</c:v>
                </c:pt>
                <c:pt idx="10">
                  <c:v>31.515000000000001</c:v>
                </c:pt>
                <c:pt idx="11">
                  <c:v>31.310000000000031</c:v>
                </c:pt>
                <c:pt idx="12">
                  <c:v>32.147000000000006</c:v>
                </c:pt>
                <c:pt idx="13">
                  <c:v>32.705000000000013</c:v>
                </c:pt>
                <c:pt idx="14">
                  <c:v>33.199000000000012</c:v>
                </c:pt>
              </c:numCache>
            </c:numRef>
          </c:val>
          <c:extLst xmlns:c16r2="http://schemas.microsoft.com/office/drawing/2015/06/chart">
            <c:ext xmlns:c16="http://schemas.microsoft.com/office/drawing/2014/chart" uri="{C3380CC4-5D6E-409C-BE32-E72D297353CC}">
              <c16:uniqueId val="{0000000C-5F7D-425E-A3DA-4417A929CF66}"/>
            </c:ext>
          </c:extLst>
        </c:ser>
        <c:ser>
          <c:idx val="0"/>
          <c:order val="8"/>
          <c:tx>
            <c:strRef>
              <c:f>OECD!$B$48</c:f>
              <c:strCache>
                <c:ptCount val="1"/>
                <c:pt idx="0">
                  <c:v>Ιρλανδία</c:v>
                </c:pt>
              </c:strCache>
            </c:strRef>
          </c:tx>
          <c:spPr>
            <a:ln w="12700" cap="rnd">
              <a:solidFill>
                <a:schemeClr val="accent6">
                  <a:lumMod val="75000"/>
                </a:schemeClr>
              </a:solidFill>
              <a:round/>
            </a:ln>
            <a:effectLst/>
          </c:spPr>
          <c:marker>
            <c:symbol val="circle"/>
            <c:size val="7"/>
            <c:spPr>
              <a:solidFill>
                <a:schemeClr val="accent6">
                  <a:lumMod val="75000"/>
                </a:schemeClr>
              </a:solidFill>
              <a:ln>
                <a:noFill/>
              </a:ln>
              <a:effectLst/>
            </c:spPr>
          </c:marker>
          <c:dLbls>
            <c:delete val="1"/>
          </c:dLbls>
          <c:cat>
            <c:numRef>
              <c:f>OECD!$C$3:$Q$3</c:f>
              <c:numCache>
                <c:formatCode>@</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OECD!$C$48:$Q$48</c:f>
              <c:numCache>
                <c:formatCode>0.0</c:formatCode>
                <c:ptCount val="15"/>
                <c:pt idx="0">
                  <c:v>30.924999999999986</c:v>
                </c:pt>
                <c:pt idx="1">
                  <c:v>28.784999999999989</c:v>
                </c:pt>
                <c:pt idx="2">
                  <c:v>27.434000000000001</c:v>
                </c:pt>
                <c:pt idx="3">
                  <c:v>28.327999999999999</c:v>
                </c:pt>
                <c:pt idx="4">
                  <c:v>29.114999999999998</c:v>
                </c:pt>
                <c:pt idx="5">
                  <c:v>29.236000000000001</c:v>
                </c:pt>
                <c:pt idx="6">
                  <c:v>31.018000000000001</c:v>
                </c:pt>
                <c:pt idx="7">
                  <c:v>30.441999999999986</c:v>
                </c:pt>
                <c:pt idx="8">
                  <c:v>28.573</c:v>
                </c:pt>
                <c:pt idx="9">
                  <c:v>27.632000000000001</c:v>
                </c:pt>
                <c:pt idx="10">
                  <c:v>27.452999999999989</c:v>
                </c:pt>
                <c:pt idx="11">
                  <c:v>27.376999999999999</c:v>
                </c:pt>
                <c:pt idx="12">
                  <c:v>27.919</c:v>
                </c:pt>
                <c:pt idx="13">
                  <c:v>29.032</c:v>
                </c:pt>
                <c:pt idx="14">
                  <c:v>29.898</c:v>
                </c:pt>
              </c:numCache>
            </c:numRef>
          </c:val>
          <c:extLst xmlns:c16r2="http://schemas.microsoft.com/office/drawing/2015/06/chart">
            <c:ext xmlns:c16="http://schemas.microsoft.com/office/drawing/2014/chart" uri="{C3380CC4-5D6E-409C-BE32-E72D297353CC}">
              <c16:uniqueId val="{0000000D-5F7D-425E-A3DA-4417A929CF66}"/>
            </c:ext>
          </c:extLst>
        </c:ser>
        <c:ser>
          <c:idx val="36"/>
          <c:order val="9"/>
          <c:tx>
            <c:strRef>
              <c:f>OECD!$B$39</c:f>
              <c:strCache>
                <c:ptCount val="1"/>
                <c:pt idx="0">
                  <c:v>Μεξικό [ελάχιστο]</c:v>
                </c:pt>
              </c:strCache>
            </c:strRef>
          </c:tx>
          <c:spPr>
            <a:ln w="31750" cap="rnd">
              <a:solidFill>
                <a:schemeClr val="accent1">
                  <a:lumMod val="50000"/>
                </a:schemeClr>
              </a:solidFill>
              <a:round/>
            </a:ln>
            <a:effectLst/>
          </c:spPr>
          <c:marker>
            <c:symbol val="circle"/>
            <c:size val="14"/>
            <c:spPr>
              <a:solidFill>
                <a:schemeClr val="accent1">
                  <a:lumMod val="50000"/>
                </a:schemeClr>
              </a:solidFill>
              <a:ln>
                <a:noFill/>
              </a:ln>
              <a:effectLst/>
            </c:spPr>
          </c:marker>
          <c:dLbls>
            <c:spPr>
              <a:noFill/>
              <a:ln>
                <a:noFill/>
              </a:ln>
              <a:effectLst/>
            </c:spPr>
            <c:txPr>
              <a:bodyPr rot="0" vert="horz"/>
              <a:lstStyle/>
              <a:p>
                <a:pPr>
                  <a:defRPr sz="600">
                    <a:solidFill>
                      <a:schemeClr val="bg1"/>
                    </a:solidFill>
                  </a:defRPr>
                </a:pPr>
                <a:endParaRPr lang="el-G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OECD!$C$3:$Q$3</c:f>
              <c:numCache>
                <c:formatCode>@</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OECD!$C$39:$Q$39</c:f>
              <c:numCache>
                <c:formatCode>0.0</c:formatCode>
                <c:ptCount val="15"/>
                <c:pt idx="0">
                  <c:v>16.545000000000002</c:v>
                </c:pt>
                <c:pt idx="1">
                  <c:v>16.802</c:v>
                </c:pt>
                <c:pt idx="2">
                  <c:v>16.175999999999988</c:v>
                </c:pt>
                <c:pt idx="3">
                  <c:v>17.050999999999988</c:v>
                </c:pt>
                <c:pt idx="4">
                  <c:v>16.846</c:v>
                </c:pt>
                <c:pt idx="5">
                  <c:v>17.692</c:v>
                </c:pt>
                <c:pt idx="6">
                  <c:v>17.891999999999999</c:v>
                </c:pt>
                <c:pt idx="7">
                  <c:v>17.57</c:v>
                </c:pt>
                <c:pt idx="8">
                  <c:v>20.72</c:v>
                </c:pt>
                <c:pt idx="9">
                  <c:v>17.161999999999999</c:v>
                </c:pt>
                <c:pt idx="10">
                  <c:v>18.529</c:v>
                </c:pt>
                <c:pt idx="11">
                  <c:v>19.484000000000002</c:v>
                </c:pt>
                <c:pt idx="12">
                  <c:v>19.542000000000002</c:v>
                </c:pt>
                <c:pt idx="13">
                  <c:v>19.686</c:v>
                </c:pt>
              </c:numCache>
            </c:numRef>
          </c:val>
          <c:extLst xmlns:c16r2="http://schemas.microsoft.com/office/drawing/2015/06/chart">
            <c:ext xmlns:c16="http://schemas.microsoft.com/office/drawing/2014/chart" uri="{C3380CC4-5D6E-409C-BE32-E72D297353CC}">
              <c16:uniqueId val="{0000000E-5F7D-425E-A3DA-4417A929CF66}"/>
            </c:ext>
          </c:extLst>
        </c:ser>
        <c:dLbls>
          <c:showVal val="1"/>
        </c:dLbls>
        <c:marker val="1"/>
        <c:axId val="153953792"/>
        <c:axId val="153955328"/>
      </c:lineChart>
      <c:catAx>
        <c:axId val="153953792"/>
        <c:scaling>
          <c:orientation val="minMax"/>
        </c:scaling>
        <c:axPos val="b"/>
        <c:numFmt formatCode="@" sourceLinked="1"/>
        <c:tickLblPos val="nextTo"/>
        <c:spPr>
          <a:noFill/>
          <a:ln w="19050" cap="flat" cmpd="sng" algn="ctr">
            <a:solidFill>
              <a:schemeClr val="dk1">
                <a:lumMod val="75000"/>
                <a:lumOff val="25000"/>
              </a:schemeClr>
            </a:solidFill>
            <a:round/>
          </a:ln>
          <a:effectLst/>
        </c:spPr>
        <c:txPr>
          <a:bodyPr rot="-60000000" vert="horz"/>
          <a:lstStyle/>
          <a:p>
            <a:pPr>
              <a:defRPr sz="900"/>
            </a:pPr>
            <a:endParaRPr lang="el-GR"/>
          </a:p>
        </c:txPr>
        <c:crossAx val="153955328"/>
        <c:crosses val="autoZero"/>
        <c:auto val="1"/>
        <c:lblAlgn val="ctr"/>
        <c:lblOffset val="100"/>
      </c:catAx>
      <c:valAx>
        <c:axId val="153955328"/>
        <c:scaling>
          <c:orientation val="minMax"/>
          <c:min val="15"/>
        </c:scaling>
        <c:axPos val="l"/>
        <c:majorGridlines>
          <c:spPr>
            <a:ln w="9525" cap="flat" cmpd="sng" algn="ctr">
              <a:solidFill>
                <a:schemeClr val="bg1">
                  <a:lumMod val="50000"/>
                </a:schemeClr>
              </a:solidFill>
              <a:prstDash val="sysDash"/>
              <a:round/>
            </a:ln>
            <a:effectLst/>
          </c:spPr>
        </c:majorGridlines>
        <c:numFmt formatCode="0" sourceLinked="0"/>
        <c:tickLblPos val="nextTo"/>
        <c:spPr>
          <a:noFill/>
          <a:ln>
            <a:solidFill>
              <a:schemeClr val="tx1"/>
            </a:solidFill>
          </a:ln>
          <a:effectLst/>
        </c:spPr>
        <c:txPr>
          <a:bodyPr rot="-60000000" vert="horz"/>
          <a:lstStyle/>
          <a:p>
            <a:pPr>
              <a:defRPr sz="900"/>
            </a:pPr>
            <a:endParaRPr lang="el-GR"/>
          </a:p>
        </c:txPr>
        <c:crossAx val="153953792"/>
        <c:crosses val="autoZero"/>
        <c:crossBetween val="between"/>
      </c:valAx>
      <c:spPr>
        <a:solidFill>
          <a:schemeClr val="bg1">
            <a:lumMod val="95000"/>
          </a:schemeClr>
        </a:solidFill>
        <a:ln>
          <a:solidFill>
            <a:schemeClr val="tx1"/>
          </a:solidFill>
        </a:ln>
        <a:effectLst/>
      </c:spPr>
    </c:plotArea>
    <c:legend>
      <c:legendPos val="r"/>
      <c:layout>
        <c:manualLayout>
          <c:xMode val="edge"/>
          <c:yMode val="edge"/>
          <c:x val="0.80774350470711898"/>
          <c:y val="4.5425073149104163E-2"/>
          <c:w val="0.18205841150555443"/>
          <c:h val="0.55447205519994358"/>
        </c:manualLayout>
      </c:layout>
      <c:txPr>
        <a:bodyPr/>
        <a:lstStyle/>
        <a:p>
          <a:pPr>
            <a:defRPr sz="800"/>
          </a:pPr>
          <a:endParaRPr lang="el-GR"/>
        </a:p>
      </c:txPr>
    </c:legend>
    <c:plotVisOnly val="1"/>
    <c:dispBlanksAs val="gap"/>
  </c:chart>
  <c:spPr>
    <a:noFill/>
    <a:ln w="9525" cap="flat" cmpd="sng" algn="ctr">
      <a:solidFill>
        <a:schemeClr val="dk1">
          <a:lumMod val="25000"/>
          <a:lumOff val="75000"/>
        </a:schemeClr>
      </a:solidFill>
      <a:round/>
    </a:ln>
    <a:effectLst/>
  </c:spPr>
  <c:txPr>
    <a:bodyPr/>
    <a:lstStyle/>
    <a:p>
      <a:pPr>
        <a:defRPr sz="700">
          <a:latin typeface="Arial Narrow" panose="020B0606020202030204" pitchFamily="34" charset="0"/>
        </a:defRPr>
      </a:pPr>
      <a:endParaRPr lang="el-GR"/>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l-GR"/>
  <c:chart>
    <c:plotArea>
      <c:layout/>
      <c:scatterChart>
        <c:scatterStyle val="lineMarker"/>
        <c:ser>
          <c:idx val="2"/>
          <c:order val="2"/>
          <c:spPr>
            <a:ln w="28575">
              <a:noFill/>
            </a:ln>
          </c:spPr>
          <c:xVal>
            <c:numRef>
              <c:f>Sheet2!$V$5:$V$38</c:f>
            </c:numRef>
          </c:xVal>
          <c:yVal>
            <c:numRef>
              <c:f>Sheet2!$O$5:$O$38</c:f>
            </c:numRef>
          </c:yVal>
          <c:extLst xmlns:c16r2="http://schemas.microsoft.com/office/drawing/2015/06/chart">
            <c:ext xmlns:c16="http://schemas.microsoft.com/office/drawing/2014/chart" uri="{C3380CC4-5D6E-409C-BE32-E72D297353CC}">
              <c16:uniqueId val="{00000000-1610-4B54-9D3D-10EA6979FC9C}"/>
            </c:ext>
          </c:extLst>
        </c:ser>
        <c:ser>
          <c:idx val="3"/>
          <c:order val="3"/>
          <c:spPr>
            <a:ln w="15875">
              <a:solidFill>
                <a:schemeClr val="tx1">
                  <a:lumMod val="95000"/>
                  <a:lumOff val="5000"/>
                </a:schemeClr>
              </a:solidFill>
            </a:ln>
          </c:spPr>
          <c:xVal>
            <c:numRef>
              <c:f>Sheet2!$W$5:$W$39</c:f>
            </c:numRef>
          </c:xVal>
          <c:yVal>
            <c:numRef>
              <c:f>Sheet2!$X$5:$X$40</c:f>
            </c:numRef>
          </c:yVal>
          <c:extLst xmlns:c16r2="http://schemas.microsoft.com/office/drawing/2015/06/chart">
            <c:ext xmlns:c16="http://schemas.microsoft.com/office/drawing/2014/chart" uri="{C3380CC4-5D6E-409C-BE32-E72D297353CC}">
              <c16:uniqueId val="{00000001-1610-4B54-9D3D-10EA6979FC9C}"/>
            </c:ext>
          </c:extLst>
        </c:ser>
        <c:ser>
          <c:idx val="0"/>
          <c:order val="0"/>
          <c:spPr>
            <a:ln w="28575">
              <a:noFill/>
            </a:ln>
          </c:spPr>
          <c:marker>
            <c:symbol val="circle"/>
            <c:size val="8"/>
            <c:spPr>
              <a:solidFill>
                <a:schemeClr val="tx1">
                  <a:lumMod val="50000"/>
                  <a:lumOff val="50000"/>
                </a:schemeClr>
              </a:solidFill>
              <a:ln w="12700">
                <a:solidFill>
                  <a:schemeClr val="bg1"/>
                </a:solidFill>
              </a:ln>
            </c:spPr>
          </c:marker>
          <c:dLbls>
            <c:dLbl>
              <c:idx val="0"/>
              <c:layout>
                <c:manualLayout>
                  <c:x val="-4.6168538420037581E-3"/>
                  <c:y val="0"/>
                </c:manualLayout>
              </c:layout>
              <c:tx>
                <c:strRef>
                  <c:f>Sheet2!$A$5</c:f>
                  <c:strCache>
                    <c:ptCount val="1"/>
                    <c:pt idx="0">
                      <c:v>Αυστραλία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02-1610-4B54-9D3D-10EA6979FC9C}"/>
                </c:ext>
                <c:ext xmlns:c15="http://schemas.microsoft.com/office/drawing/2012/chart" uri="{CE6537A1-D6FC-4f65-9D91-7224C49458BB}">
                  <c15:spPr xmlns:c15="http://schemas.microsoft.com/office/drawing/2012/chart">
                    <a:prstGeom prst="rect">
                      <a:avLst/>
                    </a:prstGeom>
                  </c15:spPr>
                  <c15:dlblFieldTable>
                    <c15:dlblFTEntry>
                      <c15:txfldGUID>{0B2482FB-25E0-4930-9563-B457E5250C11}</c15:txfldGUID>
                      <c15:f>Sheet2!$A$5</c15:f>
                      <c15:dlblFieldTableCache>
                        <c:ptCount val="1"/>
                        <c:pt idx="0">
                          <c:v>Αυστραλία</c:v>
                        </c:pt>
                      </c15:dlblFieldTableCache>
                    </c15:dlblFTEntry>
                  </c15:dlblFieldTable>
                  <c15:showDataLabelsRange val="0"/>
                </c:ext>
              </c:extLst>
            </c:dLbl>
            <c:dLbl>
              <c:idx val="1"/>
              <c:layout>
                <c:manualLayout>
                  <c:x val="-4.6114158014500155E-3"/>
                  <c:y val="-3.2271682384675984E-3"/>
                </c:manualLayout>
              </c:layout>
              <c:tx>
                <c:strRef>
                  <c:f>Sheet2!$A$6</c:f>
                  <c:strCache>
                    <c:ptCount val="1"/>
                    <c:pt idx="0">
                      <c:v>Αυστρία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03-1610-4B54-9D3D-10EA6979FC9C}"/>
                </c:ext>
                <c:ext xmlns:c15="http://schemas.microsoft.com/office/drawing/2012/chart" uri="{CE6537A1-D6FC-4f65-9D91-7224C49458BB}">
                  <c15:spPr xmlns:c15="http://schemas.microsoft.com/office/drawing/2012/chart">
                    <a:prstGeom prst="rect">
                      <a:avLst/>
                    </a:prstGeom>
                  </c15:spPr>
                  <c15:dlblFieldTable>
                    <c15:dlblFTEntry>
                      <c15:txfldGUID>{92C99F7E-8CCC-4689-AB66-BF32DF3AF3A2}</c15:txfldGUID>
                      <c15:f>Sheet2!$A$6</c15:f>
                      <c15:dlblFieldTableCache>
                        <c:ptCount val="1"/>
                        <c:pt idx="0">
                          <c:v>Αυστρία</c:v>
                        </c:pt>
                      </c15:dlblFieldTableCache>
                    </c15:dlblFTEntry>
                  </c15:dlblFieldTable>
                  <c15:showDataLabelsRange val="0"/>
                </c:ext>
              </c:extLst>
            </c:dLbl>
            <c:dLbl>
              <c:idx val="2"/>
              <c:layout>
                <c:manualLayout>
                  <c:x val="-4.621596841139745E-3"/>
                  <c:y val="1.5852761047424981E-4"/>
                </c:manualLayout>
              </c:layout>
              <c:tx>
                <c:strRef>
                  <c:f>Sheet2!$A$7</c:f>
                  <c:strCache>
                    <c:ptCount val="1"/>
                    <c:pt idx="0">
                      <c:v>Βέλγιο</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04-1610-4B54-9D3D-10EA6979FC9C}"/>
                </c:ext>
                <c:ext xmlns:c15="http://schemas.microsoft.com/office/drawing/2012/chart" uri="{CE6537A1-D6FC-4f65-9D91-7224C49458BB}">
                  <c15:spPr xmlns:c15="http://schemas.microsoft.com/office/drawing/2012/chart">
                    <a:prstGeom prst="rect">
                      <a:avLst/>
                    </a:prstGeom>
                  </c15:spPr>
                  <c15:dlblFieldTable>
                    <c15:dlblFTEntry>
                      <c15:txfldGUID>{DD3F83D1-BC18-4204-A05D-0B59446FDE59}</c15:txfldGUID>
                      <c15:f>Sheet2!$A$7</c15:f>
                      <c15:dlblFieldTableCache>
                        <c:ptCount val="1"/>
                        <c:pt idx="0">
                          <c:v>Βέλγιο</c:v>
                        </c:pt>
                      </c15:dlblFieldTableCache>
                    </c15:dlblFTEntry>
                  </c15:dlblFieldTable>
                  <c15:showDataLabelsRange val="0"/>
                </c:ext>
              </c:extLst>
            </c:dLbl>
            <c:dLbl>
              <c:idx val="3"/>
              <c:layout>
                <c:manualLayout>
                  <c:x val="-7.150982782581991E-2"/>
                  <c:y val="-3.7625090190419901E-4"/>
                </c:manualLayout>
              </c:layout>
              <c:tx>
                <c:strRef>
                  <c:f>Sheet2!$A$8</c:f>
                  <c:strCache>
                    <c:ptCount val="1"/>
                    <c:pt idx="0">
                      <c:v>Καναδάς</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05-1610-4B54-9D3D-10EA6979FC9C}"/>
                </c:ext>
                <c:ext xmlns:c15="http://schemas.microsoft.com/office/drawing/2012/chart" uri="{CE6537A1-D6FC-4f65-9D91-7224C49458BB}">
                  <c15:spPr xmlns:c15="http://schemas.microsoft.com/office/drawing/2012/chart">
                    <a:prstGeom prst="rect">
                      <a:avLst/>
                    </a:prstGeom>
                  </c15:spPr>
                  <c15:dlblFieldTable>
                    <c15:dlblFTEntry>
                      <c15:txfldGUID>{32D8C4BD-E7CF-454B-9348-A198202AFDB1}</c15:txfldGUID>
                      <c15:f>Sheet2!$A$8</c15:f>
                      <c15:dlblFieldTableCache>
                        <c:ptCount val="1"/>
                        <c:pt idx="0">
                          <c:v>Καναδάς</c:v>
                        </c:pt>
                      </c15:dlblFieldTableCache>
                    </c15:dlblFTEntry>
                  </c15:dlblFieldTable>
                  <c15:showDataLabelsRange val="0"/>
                </c:ext>
              </c:extLst>
            </c:dLbl>
            <c:dLbl>
              <c:idx val="4"/>
              <c:tx>
                <c:strRef>
                  <c:f>Sheet2!$A$9</c:f>
                  <c:strCache>
                    <c:ptCount val="1"/>
                    <c:pt idx="0">
                      <c:v>Xιλή</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06-1610-4B54-9D3D-10EA6979FC9C}"/>
                </c:ext>
                <c:ext xmlns:c15="http://schemas.microsoft.com/office/drawing/2012/chart" uri="{CE6537A1-D6FC-4f65-9D91-7224C49458BB}">
                  <c15:dlblFieldTable>
                    <c15:dlblFTEntry>
                      <c15:txfldGUID>{BBE78742-B835-4720-8483-B81F09772539}</c15:txfldGUID>
                      <c15:f>Sheet2!$A$9</c15:f>
                      <c15:dlblFieldTableCache>
                        <c:ptCount val="1"/>
                        <c:pt idx="0">
                          <c:v>Xιλή</c:v>
                        </c:pt>
                      </c15:dlblFieldTableCache>
                    </c15:dlblFTEntry>
                  </c15:dlblFieldTable>
                  <c15:showDataLabelsRange val="0"/>
                </c:ext>
              </c:extLst>
            </c:dLbl>
            <c:dLbl>
              <c:idx val="5"/>
              <c:layout>
                <c:manualLayout>
                  <c:x val="-0.13856296829679021"/>
                  <c:y val="-3.4983259601383846E-3"/>
                </c:manualLayout>
              </c:layout>
              <c:tx>
                <c:strRef>
                  <c:f>Sheet2!$A$10</c:f>
                  <c:strCache>
                    <c:ptCount val="1"/>
                    <c:pt idx="0">
                      <c:v>Τσεχική Δημοκρατία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07-1610-4B54-9D3D-10EA6979FC9C}"/>
                </c:ext>
                <c:ext xmlns:c15="http://schemas.microsoft.com/office/drawing/2012/chart" uri="{CE6537A1-D6FC-4f65-9D91-7224C49458BB}">
                  <c15:spPr xmlns:c15="http://schemas.microsoft.com/office/drawing/2012/chart">
                    <a:prstGeom prst="rect">
                      <a:avLst/>
                    </a:prstGeom>
                  </c15:spPr>
                  <c15:dlblFieldTable>
                    <c15:dlblFTEntry>
                      <c15:txfldGUID>{00320914-3CCB-4439-973D-88D764959C62}</c15:txfldGUID>
                      <c15:f>Sheet2!$A$10</c15:f>
                      <c15:dlblFieldTableCache>
                        <c:ptCount val="1"/>
                        <c:pt idx="0">
                          <c:v>Τσεχική Δημοκρατία</c:v>
                        </c:pt>
                      </c15:dlblFieldTableCache>
                    </c15:dlblFTEntry>
                  </c15:dlblFieldTable>
                  <c15:showDataLabelsRange val="0"/>
                </c:ext>
              </c:extLst>
            </c:dLbl>
            <c:dLbl>
              <c:idx val="6"/>
              <c:layout>
                <c:manualLayout>
                  <c:x val="-4.6216051671729213E-3"/>
                  <c:y val="0"/>
                </c:manualLayout>
              </c:layout>
              <c:tx>
                <c:strRef>
                  <c:f>Sheet2!$A$11</c:f>
                  <c:strCache>
                    <c:ptCount val="1"/>
                    <c:pt idx="0">
                      <c:v>Δανία</c:v>
                    </c:pt>
                  </c:strCache>
                </c:strRef>
              </c:tx>
              <c:spPr>
                <a:noFill/>
                <a:ln cap="rnd" cmpd="sng">
                  <a:noFill/>
                  <a:prstDash val="sysDash"/>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08-1610-4B54-9D3D-10EA6979FC9C}"/>
                </c:ext>
                <c:ext xmlns:c15="http://schemas.microsoft.com/office/drawing/2012/chart" uri="{CE6537A1-D6FC-4f65-9D91-7224C49458BB}">
                  <c15:spPr xmlns:c15="http://schemas.microsoft.com/office/drawing/2012/chart">
                    <a:prstGeom prst="rect">
                      <a:avLst/>
                    </a:prstGeom>
                  </c15:spPr>
                  <c15:dlblFieldTable>
                    <c15:dlblFTEntry>
                      <c15:txfldGUID>{7BB7BE55-B808-48E1-BF0F-C62781C848FB}</c15:txfldGUID>
                      <c15:f>Sheet2!$A$11</c15:f>
                      <c15:dlblFieldTableCache>
                        <c:ptCount val="1"/>
                        <c:pt idx="0">
                          <c:v>Δανία</c:v>
                        </c:pt>
                      </c15:dlblFieldTableCache>
                    </c15:dlblFTEntry>
                  </c15:dlblFieldTable>
                  <c15:showDataLabelsRange val="0"/>
                </c:ext>
              </c:extLst>
            </c:dLbl>
            <c:dLbl>
              <c:idx val="7"/>
              <c:layout>
                <c:manualLayout>
                  <c:x val="-4.4113004143734348E-3"/>
                  <c:y val="7.9207854315737811E-4"/>
                </c:manualLayout>
              </c:layout>
              <c:tx>
                <c:strRef>
                  <c:f>Sheet2!$A$12</c:f>
                  <c:strCache>
                    <c:ptCount val="1"/>
                    <c:pt idx="0">
                      <c:v>Εσθονία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09-1610-4B54-9D3D-10EA6979FC9C}"/>
                </c:ext>
                <c:ext xmlns:c15="http://schemas.microsoft.com/office/drawing/2012/chart" uri="{CE6537A1-D6FC-4f65-9D91-7224C49458BB}">
                  <c15:spPr xmlns:c15="http://schemas.microsoft.com/office/drawing/2012/chart">
                    <a:prstGeom prst="rect">
                      <a:avLst/>
                    </a:prstGeom>
                  </c15:spPr>
                  <c15:dlblFieldTable>
                    <c15:dlblFTEntry>
                      <c15:txfldGUID>{471B0224-539C-4139-BC06-635020D0BAC7}</c15:txfldGUID>
                      <c15:f>Sheet2!$A$12</c15:f>
                      <c15:dlblFieldTableCache>
                        <c:ptCount val="1"/>
                        <c:pt idx="0">
                          <c:v>Εσθονία</c:v>
                        </c:pt>
                      </c15:dlblFieldTableCache>
                    </c15:dlblFTEntry>
                  </c15:dlblFieldTable>
                  <c15:showDataLabelsRange val="0"/>
                </c:ext>
              </c:extLst>
            </c:dLbl>
            <c:dLbl>
              <c:idx val="8"/>
              <c:layout>
                <c:manualLayout>
                  <c:x val="-1.5926589001028205E-3"/>
                  <c:y val="-7.8869999907264841E-4"/>
                </c:manualLayout>
              </c:layout>
              <c:tx>
                <c:strRef>
                  <c:f>Sheet2!$A$13</c:f>
                  <c:strCache>
                    <c:ptCount val="1"/>
                    <c:pt idx="0">
                      <c:v>Φινλανδία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0A-1610-4B54-9D3D-10EA6979FC9C}"/>
                </c:ext>
                <c:ext xmlns:c15="http://schemas.microsoft.com/office/drawing/2012/chart" uri="{CE6537A1-D6FC-4f65-9D91-7224C49458BB}">
                  <c15:spPr xmlns:c15="http://schemas.microsoft.com/office/drawing/2012/chart">
                    <a:prstGeom prst="rect">
                      <a:avLst/>
                    </a:prstGeom>
                  </c15:spPr>
                  <c15:dlblFieldTable>
                    <c15:dlblFTEntry>
                      <c15:txfldGUID>{4571EA90-6E38-42BE-9B9B-1A816CE71B43}</c15:txfldGUID>
                      <c15:f>Sheet2!$A$13</c15:f>
                      <c15:dlblFieldTableCache>
                        <c:ptCount val="1"/>
                        <c:pt idx="0">
                          <c:v>Φινλανδία</c:v>
                        </c:pt>
                      </c15:dlblFieldTableCache>
                    </c15:dlblFTEntry>
                  </c15:dlblFieldTable>
                  <c15:showDataLabelsRange val="0"/>
                </c:ext>
              </c:extLst>
            </c:dLbl>
            <c:dLbl>
              <c:idx val="9"/>
              <c:layout>
                <c:manualLayout>
                  <c:x val="-6.6745906881240033E-2"/>
                  <c:y val="-1.9700805950492277E-3"/>
                </c:manualLayout>
              </c:layout>
              <c:tx>
                <c:strRef>
                  <c:f>Sheet2!$A$14</c:f>
                  <c:strCache>
                    <c:ptCount val="1"/>
                    <c:pt idx="0">
                      <c:v>Γαλλία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0B-1610-4B54-9D3D-10EA6979FC9C}"/>
                </c:ext>
                <c:ext xmlns:c15="http://schemas.microsoft.com/office/drawing/2012/chart" uri="{CE6537A1-D6FC-4f65-9D91-7224C49458BB}">
                  <c15:spPr xmlns:c15="http://schemas.microsoft.com/office/drawing/2012/chart">
                    <a:prstGeom prst="rect">
                      <a:avLst/>
                    </a:prstGeom>
                  </c15:spPr>
                  <c15:dlblFieldTable>
                    <c15:dlblFTEntry>
                      <c15:txfldGUID>{FAFA3007-C585-44B2-97B1-F4AFF7BB55B7}</c15:txfldGUID>
                      <c15:f>Sheet2!$A$14</c15:f>
                      <c15:dlblFieldTableCache>
                        <c:ptCount val="1"/>
                        <c:pt idx="0">
                          <c:v>Γαλλία</c:v>
                        </c:pt>
                      </c15:dlblFieldTableCache>
                    </c15:dlblFTEntry>
                  </c15:dlblFieldTable>
                  <c15:showDataLabelsRange val="0"/>
                </c:ext>
              </c:extLst>
            </c:dLbl>
            <c:dLbl>
              <c:idx val="10"/>
              <c:layout>
                <c:manualLayout>
                  <c:x val="-2.3322293226904762E-3"/>
                  <c:y val="0"/>
                </c:manualLayout>
              </c:layout>
              <c:tx>
                <c:strRef>
                  <c:f>Sheet2!$A$15</c:f>
                  <c:strCache>
                    <c:ptCount val="1"/>
                    <c:pt idx="0">
                      <c:v>Γερμανία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0C-1610-4B54-9D3D-10EA6979FC9C}"/>
                </c:ext>
                <c:ext xmlns:c15="http://schemas.microsoft.com/office/drawing/2012/chart" uri="{CE6537A1-D6FC-4f65-9D91-7224C49458BB}">
                  <c15:spPr xmlns:c15="http://schemas.microsoft.com/office/drawing/2012/chart">
                    <a:prstGeom prst="rect">
                      <a:avLst/>
                    </a:prstGeom>
                  </c15:spPr>
                  <c15:dlblFieldTable>
                    <c15:dlblFTEntry>
                      <c15:txfldGUID>{4B2C0936-66D2-40D9-9375-D21177282527}</c15:txfldGUID>
                      <c15:f>Sheet2!$A$15</c15:f>
                      <c15:dlblFieldTableCache>
                        <c:ptCount val="1"/>
                        <c:pt idx="0">
                          <c:v>Γερμανία</c:v>
                        </c:pt>
                      </c15:dlblFieldTableCache>
                    </c15:dlblFTEntry>
                  </c15:dlblFieldTable>
                  <c15:showDataLabelsRange val="0"/>
                </c:ext>
              </c:extLst>
            </c:dLbl>
            <c:dLbl>
              <c:idx val="11"/>
              <c:layout>
                <c:manualLayout>
                  <c:x val="-3.9133080914849436E-3"/>
                  <c:y val="1.1156162750572513E-3"/>
                </c:manualLayout>
              </c:layout>
              <c:tx>
                <c:rich>
                  <a:bodyPr vertOverflow="clip" horzOverflow="clip" wrap="none" lIns="0" tIns="0" rIns="0" bIns="0">
                    <a:noAutofit/>
                  </a:bodyPr>
                  <a:lstStyle/>
                  <a:p>
                    <a:pPr>
                      <a:defRPr sz="600"/>
                    </a:pPr>
                    <a:r>
                      <a:rPr lang="el-GR">
                        <a:solidFill>
                          <a:srgbClr val="FF0000"/>
                        </a:solidFill>
                      </a:rPr>
                      <a:t>Ελλάδα</a:t>
                    </a:r>
                  </a:p>
                </c:rich>
              </c:tx>
              <c:spPr>
                <a:noFill/>
                <a:ln>
                  <a:noFill/>
                </a:ln>
              </c:spPr>
              <c:dLblPos val="r"/>
              <c:extLst xmlns:c16r2="http://schemas.microsoft.com/office/drawing/2015/06/chart">
                <c:ext xmlns:c16="http://schemas.microsoft.com/office/drawing/2014/chart" uri="{C3380CC4-5D6E-409C-BE32-E72D297353CC}">
                  <c16:uniqueId val="{0000000D-1610-4B54-9D3D-10EA6979FC9C}"/>
                </c:ext>
                <c:ext xmlns:c15="http://schemas.microsoft.com/office/drawing/2012/chart" uri="{CE6537A1-D6FC-4f65-9D91-7224C49458BB}">
                  <c15:spPr xmlns:c15="http://schemas.microsoft.com/office/drawing/2012/chart">
                    <a:prstGeom prst="rect">
                      <a:avLst/>
                    </a:prstGeom>
                  </c15:spPr>
                </c:ext>
              </c:extLst>
            </c:dLbl>
            <c:dLbl>
              <c:idx val="12"/>
              <c:layout>
                <c:manualLayout>
                  <c:x val="-2.2619446220865837E-3"/>
                  <c:y val="1.585932500486928E-4"/>
                </c:manualLayout>
              </c:layout>
              <c:tx>
                <c:strRef>
                  <c:f>Sheet2!$A$17</c:f>
                  <c:strCache>
                    <c:ptCount val="1"/>
                    <c:pt idx="0">
                      <c:v>Ουγγαρία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0E-1610-4B54-9D3D-10EA6979FC9C}"/>
                </c:ext>
                <c:ext xmlns:c15="http://schemas.microsoft.com/office/drawing/2012/chart" uri="{CE6537A1-D6FC-4f65-9D91-7224C49458BB}">
                  <c15:spPr xmlns:c15="http://schemas.microsoft.com/office/drawing/2012/chart">
                    <a:prstGeom prst="rect">
                      <a:avLst/>
                    </a:prstGeom>
                  </c15:spPr>
                  <c15:dlblFieldTable>
                    <c15:dlblFTEntry>
                      <c15:txfldGUID>{62A0B33A-87AE-467B-B687-1403F15BB541}</c15:txfldGUID>
                      <c15:f>Sheet2!$A$17</c15:f>
                      <c15:dlblFieldTableCache>
                        <c:ptCount val="1"/>
                        <c:pt idx="0">
                          <c:v>Ουγγαρία</c:v>
                        </c:pt>
                      </c15:dlblFieldTableCache>
                    </c15:dlblFTEntry>
                  </c15:dlblFieldTable>
                  <c15:showDataLabelsRange val="0"/>
                </c:ext>
              </c:extLst>
            </c:dLbl>
            <c:dLbl>
              <c:idx val="13"/>
              <c:layout>
                <c:manualLayout>
                  <c:x val="-2.2517153643269892E-3"/>
                  <c:y val="4.0176956679001792E-4"/>
                </c:manualLayout>
              </c:layout>
              <c:tx>
                <c:strRef>
                  <c:f>Sheet2!$A$18</c:f>
                  <c:strCache>
                    <c:ptCount val="1"/>
                    <c:pt idx="0">
                      <c:v>Ισλανδία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0F-1610-4B54-9D3D-10EA6979FC9C}"/>
                </c:ext>
                <c:ext xmlns:c15="http://schemas.microsoft.com/office/drawing/2012/chart" uri="{CE6537A1-D6FC-4f65-9D91-7224C49458BB}">
                  <c15:spPr xmlns:c15="http://schemas.microsoft.com/office/drawing/2012/chart">
                    <a:prstGeom prst="rect">
                      <a:avLst/>
                    </a:prstGeom>
                  </c15:spPr>
                  <c15:dlblFieldTable>
                    <c15:dlblFTEntry>
                      <c15:txfldGUID>{9F4E6278-44B7-40AB-BC31-C1A03FD2996E}</c15:txfldGUID>
                      <c15:f>Sheet2!$A$18</c15:f>
                      <c15:dlblFieldTableCache>
                        <c:ptCount val="1"/>
                        <c:pt idx="0">
                          <c:v>Ισλανδία</c:v>
                        </c:pt>
                      </c15:dlblFieldTableCache>
                    </c15:dlblFTEntry>
                  </c15:dlblFieldTable>
                  <c15:showDataLabelsRange val="0"/>
                </c:ext>
              </c:extLst>
            </c:dLbl>
            <c:dLbl>
              <c:idx val="14"/>
              <c:layout>
                <c:manualLayout>
                  <c:x val="-7.5863646186049113E-2"/>
                  <c:y val="-5.6945178672453675E-5"/>
                </c:manualLayout>
              </c:layout>
              <c:tx>
                <c:strRef>
                  <c:f>Sheet2!$A$19</c:f>
                  <c:strCache>
                    <c:ptCount val="1"/>
                    <c:pt idx="0">
                      <c:v>Ιρλανδία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10-1610-4B54-9D3D-10EA6979FC9C}"/>
                </c:ext>
                <c:ext xmlns:c15="http://schemas.microsoft.com/office/drawing/2012/chart" uri="{CE6537A1-D6FC-4f65-9D91-7224C49458BB}">
                  <c15:spPr xmlns:c15="http://schemas.microsoft.com/office/drawing/2012/chart">
                    <a:prstGeom prst="rect">
                      <a:avLst/>
                    </a:prstGeom>
                  </c15:spPr>
                  <c15:dlblFieldTable>
                    <c15:dlblFTEntry>
                      <c15:txfldGUID>{06E906FC-92D6-4869-A4FB-8F7C1F26CD45}</c15:txfldGUID>
                      <c15:f>Sheet2!$A$19</c15:f>
                      <c15:dlblFieldTableCache>
                        <c:ptCount val="1"/>
                        <c:pt idx="0">
                          <c:v>Ιρλανδία</c:v>
                        </c:pt>
                      </c15:dlblFieldTableCache>
                    </c15:dlblFTEntry>
                  </c15:dlblFieldTable>
                  <c15:showDataLabelsRange val="0"/>
                </c:ext>
              </c:extLst>
            </c:dLbl>
            <c:dLbl>
              <c:idx val="15"/>
              <c:layout>
                <c:manualLayout>
                  <c:x val="-2.0610144167046592E-2"/>
                  <c:y val="1.7765536545090325E-2"/>
                </c:manualLayout>
              </c:layout>
              <c:tx>
                <c:strRef>
                  <c:f>Sheet2!$A$20</c:f>
                  <c:strCache>
                    <c:ptCount val="1"/>
                    <c:pt idx="0">
                      <c:v>Ισραήλ</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11-1610-4B54-9D3D-10EA6979FC9C}"/>
                </c:ext>
                <c:ext xmlns:c15="http://schemas.microsoft.com/office/drawing/2012/chart" uri="{CE6537A1-D6FC-4f65-9D91-7224C49458BB}">
                  <c15:spPr xmlns:c15="http://schemas.microsoft.com/office/drawing/2012/chart">
                    <a:prstGeom prst="rect">
                      <a:avLst/>
                    </a:prstGeom>
                  </c15:spPr>
                  <c15:dlblFieldTable>
                    <c15:dlblFTEntry>
                      <c15:txfldGUID>{15591861-41D2-4AD1-B97E-4B3D20489472}</c15:txfldGUID>
                      <c15:f>Sheet2!$A$20</c15:f>
                      <c15:dlblFieldTableCache>
                        <c:ptCount val="1"/>
                        <c:pt idx="0">
                          <c:v>Ισραήλ</c:v>
                        </c:pt>
                      </c15:dlblFieldTableCache>
                    </c15:dlblFTEntry>
                  </c15:dlblFieldTable>
                  <c15:showDataLabelsRange val="0"/>
                </c:ext>
              </c:extLst>
            </c:dLbl>
            <c:dLbl>
              <c:idx val="16"/>
              <c:layout>
                <c:manualLayout>
                  <c:x val="-4.1010190350047543E-3"/>
                  <c:y val="-2.8370570286488906E-3"/>
                </c:manualLayout>
              </c:layout>
              <c:tx>
                <c:strRef>
                  <c:f>Sheet2!$A$21</c:f>
                  <c:strCache>
                    <c:ptCount val="1"/>
                    <c:pt idx="0">
                      <c:v>Ιταλία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12-1610-4B54-9D3D-10EA6979FC9C}"/>
                </c:ext>
                <c:ext xmlns:c15="http://schemas.microsoft.com/office/drawing/2012/chart" uri="{CE6537A1-D6FC-4f65-9D91-7224C49458BB}">
                  <c15:spPr xmlns:c15="http://schemas.microsoft.com/office/drawing/2012/chart">
                    <a:prstGeom prst="rect">
                      <a:avLst/>
                    </a:prstGeom>
                  </c15:spPr>
                  <c15:dlblFieldTable>
                    <c15:dlblFTEntry>
                      <c15:txfldGUID>{50079A76-11AF-4233-ADC7-916035DCE42F}</c15:txfldGUID>
                      <c15:f>Sheet2!$A$21</c15:f>
                      <c15:dlblFieldTableCache>
                        <c:ptCount val="1"/>
                        <c:pt idx="0">
                          <c:v>Ιταλία</c:v>
                        </c:pt>
                      </c15:dlblFieldTableCache>
                    </c15:dlblFTEntry>
                  </c15:dlblFieldTable>
                  <c15:showDataLabelsRange val="0"/>
                </c:ext>
              </c:extLst>
            </c:dLbl>
            <c:dLbl>
              <c:idx val="17"/>
              <c:layout>
                <c:manualLayout>
                  <c:x val="-7.3559323210386884E-2"/>
                  <c:y val="-2.3008078053847552E-3"/>
                </c:manualLayout>
              </c:layout>
              <c:tx>
                <c:strRef>
                  <c:f>Sheet2!$A$22</c:f>
                  <c:strCache>
                    <c:ptCount val="1"/>
                    <c:pt idx="0">
                      <c:v>Ιαπωνία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13-1610-4B54-9D3D-10EA6979FC9C}"/>
                </c:ext>
                <c:ext xmlns:c15="http://schemas.microsoft.com/office/drawing/2012/chart" uri="{CE6537A1-D6FC-4f65-9D91-7224C49458BB}">
                  <c15:spPr xmlns:c15="http://schemas.microsoft.com/office/drawing/2012/chart">
                    <a:prstGeom prst="rect">
                      <a:avLst/>
                    </a:prstGeom>
                  </c15:spPr>
                  <c15:dlblFieldTable>
                    <c15:dlblFTEntry>
                      <c15:txfldGUID>{E51C912A-EFEB-4AE5-B3F7-9595BD50AC14}</c15:txfldGUID>
                      <c15:f>Sheet2!$A$22</c15:f>
                      <c15:dlblFieldTableCache>
                        <c:ptCount val="1"/>
                        <c:pt idx="0">
                          <c:v>Ιαπωνία</c:v>
                        </c:pt>
                      </c15:dlblFieldTableCache>
                    </c15:dlblFTEntry>
                  </c15:dlblFieldTable>
                  <c15:showDataLabelsRange val="0"/>
                </c:ext>
              </c:extLst>
            </c:dLbl>
            <c:dLbl>
              <c:idx val="18"/>
              <c:layout>
                <c:manualLayout>
                  <c:x val="-2.2778365046773694E-3"/>
                  <c:y val="1.2798753512615175E-5"/>
                </c:manualLayout>
              </c:layout>
              <c:tx>
                <c:strRef>
                  <c:f>Sheet2!$A$23</c:f>
                  <c:strCache>
                    <c:ptCount val="1"/>
                    <c:pt idx="0">
                      <c:v>N. Κορέα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14-1610-4B54-9D3D-10EA6979FC9C}"/>
                </c:ext>
                <c:ext xmlns:c15="http://schemas.microsoft.com/office/drawing/2012/chart" uri="{CE6537A1-D6FC-4f65-9D91-7224C49458BB}">
                  <c15:spPr xmlns:c15="http://schemas.microsoft.com/office/drawing/2012/chart">
                    <a:prstGeom prst="rect">
                      <a:avLst/>
                    </a:prstGeom>
                  </c15:spPr>
                  <c15:dlblFieldTable>
                    <c15:dlblFTEntry>
                      <c15:txfldGUID>{0E76E933-D0BD-415E-A06E-409FF223AAA9}</c15:txfldGUID>
                      <c15:f>Sheet2!$A$23</c15:f>
                      <c15:dlblFieldTableCache>
                        <c:ptCount val="1"/>
                        <c:pt idx="0">
                          <c:v>N. Κορέα</c:v>
                        </c:pt>
                      </c15:dlblFieldTableCache>
                    </c15:dlblFTEntry>
                  </c15:dlblFieldTable>
                  <c15:showDataLabelsRange val="0"/>
                </c:ext>
              </c:extLst>
            </c:dLbl>
            <c:dLbl>
              <c:idx val="19"/>
              <c:layout>
                <c:manualLayout>
                  <c:x val="-1.1534218785191614E-2"/>
                  <c:y val="1.6758020088478407E-2"/>
                </c:manualLayout>
              </c:layout>
              <c:tx>
                <c:strRef>
                  <c:f>Sheet2!$A$24</c:f>
                  <c:strCache>
                    <c:ptCount val="1"/>
                    <c:pt idx="0">
                      <c:v>Λουξεμβούργο</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15-1610-4B54-9D3D-10EA6979FC9C}"/>
                </c:ext>
                <c:ext xmlns:c15="http://schemas.microsoft.com/office/drawing/2012/chart" uri="{CE6537A1-D6FC-4f65-9D91-7224C49458BB}">
                  <c15:spPr xmlns:c15="http://schemas.microsoft.com/office/drawing/2012/chart">
                    <a:prstGeom prst="rect">
                      <a:avLst/>
                    </a:prstGeom>
                  </c15:spPr>
                  <c15:dlblFieldTable>
                    <c15:dlblFTEntry>
                      <c15:txfldGUID>{E702E7AE-F693-42B1-9274-D5EFA037C364}</c15:txfldGUID>
                      <c15:f>Sheet2!$A$24</c15:f>
                      <c15:dlblFieldTableCache>
                        <c:ptCount val="1"/>
                        <c:pt idx="0">
                          <c:v>Λουξεμβούργο</c:v>
                        </c:pt>
                      </c15:dlblFieldTableCache>
                    </c15:dlblFTEntry>
                  </c15:dlblFieldTable>
                  <c15:showDataLabelsRange val="0"/>
                </c:ext>
              </c:extLst>
            </c:dLbl>
            <c:dLbl>
              <c:idx val="20"/>
              <c:layout>
                <c:manualLayout>
                  <c:x val="-4.6133952495692292E-3"/>
                  <c:y val="2.0576314886434507E-3"/>
                </c:manualLayout>
              </c:layout>
              <c:tx>
                <c:strRef>
                  <c:f>Sheet2!$A$25</c:f>
                  <c:strCache>
                    <c:ptCount val="1"/>
                    <c:pt idx="0">
                      <c:v>Μεξικό</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16-1610-4B54-9D3D-10EA6979FC9C}"/>
                </c:ext>
                <c:ext xmlns:c15="http://schemas.microsoft.com/office/drawing/2012/chart" uri="{CE6537A1-D6FC-4f65-9D91-7224C49458BB}">
                  <c15:spPr xmlns:c15="http://schemas.microsoft.com/office/drawing/2012/chart">
                    <a:prstGeom prst="rect">
                      <a:avLst/>
                    </a:prstGeom>
                  </c15:spPr>
                  <c15:dlblFieldTable>
                    <c15:dlblFTEntry>
                      <c15:txfldGUID>{F8817AB3-1B62-424C-857D-6893C42A9724}</c15:txfldGUID>
                      <c15:f>Sheet2!$A$25</c15:f>
                      <c15:dlblFieldTableCache>
                        <c:ptCount val="1"/>
                        <c:pt idx="0">
                          <c:v>Μεξικό</c:v>
                        </c:pt>
                      </c15:dlblFieldTableCache>
                    </c15:dlblFTEntry>
                  </c15:dlblFieldTable>
                  <c15:showDataLabelsRange val="0"/>
                </c:ext>
              </c:extLst>
            </c:dLbl>
            <c:dLbl>
              <c:idx val="21"/>
              <c:layout>
                <c:manualLayout>
                  <c:x val="-1.3825024527385679E-2"/>
                  <c:y val="2.1452380289919894E-2"/>
                </c:manualLayout>
              </c:layout>
              <c:tx>
                <c:strRef>
                  <c:f>Sheet2!$A$26</c:f>
                  <c:strCache>
                    <c:ptCount val="1"/>
                    <c:pt idx="0">
                      <c:v>Ολλανδία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17-1610-4B54-9D3D-10EA6979FC9C}"/>
                </c:ext>
                <c:ext xmlns:c15="http://schemas.microsoft.com/office/drawing/2012/chart" uri="{CE6537A1-D6FC-4f65-9D91-7224C49458BB}">
                  <c15:spPr xmlns:c15="http://schemas.microsoft.com/office/drawing/2012/chart">
                    <a:prstGeom prst="rect">
                      <a:avLst/>
                    </a:prstGeom>
                  </c15:spPr>
                  <c15:dlblFieldTable>
                    <c15:dlblFTEntry>
                      <c15:txfldGUID>{B25F4380-C0B6-4FFF-AC1D-834228B3BD3A}</c15:txfldGUID>
                      <c15:f>Sheet2!$A$26</c15:f>
                      <c15:dlblFieldTableCache>
                        <c:ptCount val="1"/>
                        <c:pt idx="0">
                          <c:v>Ολλανδία</c:v>
                        </c:pt>
                      </c15:dlblFieldTableCache>
                    </c15:dlblFTEntry>
                  </c15:dlblFieldTable>
                  <c15:showDataLabelsRange val="0"/>
                </c:ext>
              </c:extLst>
            </c:dLbl>
            <c:dLbl>
              <c:idx val="22"/>
              <c:layout>
                <c:manualLayout>
                  <c:x val="-9.2148624539295232E-2"/>
                  <c:y val="2.2917373844170846E-2"/>
                </c:manualLayout>
              </c:layout>
              <c:tx>
                <c:strRef>
                  <c:f>Sheet2!$A$27</c:f>
                  <c:strCache>
                    <c:ptCount val="1"/>
                    <c:pt idx="0">
                      <c:v>Νέα Ζηλανδία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18-1610-4B54-9D3D-10EA6979FC9C}"/>
                </c:ext>
                <c:ext xmlns:c15="http://schemas.microsoft.com/office/drawing/2012/chart" uri="{CE6537A1-D6FC-4f65-9D91-7224C49458BB}">
                  <c15:spPr xmlns:c15="http://schemas.microsoft.com/office/drawing/2012/chart">
                    <a:prstGeom prst="rect">
                      <a:avLst/>
                    </a:prstGeom>
                  </c15:spPr>
                  <c15:dlblFieldTable>
                    <c15:dlblFTEntry>
                      <c15:txfldGUID>{9B135EE6-43A3-423F-9079-8FC9C870CD43}</c15:txfldGUID>
                      <c15:f>Sheet2!$A$27</c15:f>
                      <c15:dlblFieldTableCache>
                        <c:ptCount val="1"/>
                        <c:pt idx="0">
                          <c:v>Νέα Ζηλανδία</c:v>
                        </c:pt>
                      </c15:dlblFieldTableCache>
                    </c15:dlblFTEntry>
                  </c15:dlblFieldTable>
                  <c15:showDataLabelsRange val="0"/>
                </c:ext>
              </c:extLst>
            </c:dLbl>
            <c:dLbl>
              <c:idx val="23"/>
              <c:layout>
                <c:manualLayout>
                  <c:x val="-2.2741831983346412E-3"/>
                  <c:y val="-6.2101777913794933E-4"/>
                </c:manualLayout>
              </c:layout>
              <c:tx>
                <c:strRef>
                  <c:f>Sheet2!$A$28</c:f>
                  <c:strCache>
                    <c:ptCount val="1"/>
                    <c:pt idx="0">
                      <c:v>Νορβηγία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19-1610-4B54-9D3D-10EA6979FC9C}"/>
                </c:ext>
                <c:ext xmlns:c15="http://schemas.microsoft.com/office/drawing/2012/chart" uri="{CE6537A1-D6FC-4f65-9D91-7224C49458BB}">
                  <c15:spPr xmlns:c15="http://schemas.microsoft.com/office/drawing/2012/chart">
                    <a:prstGeom prst="rect">
                      <a:avLst/>
                    </a:prstGeom>
                  </c15:spPr>
                  <c15:dlblFieldTable>
                    <c15:dlblFTEntry>
                      <c15:txfldGUID>{D3E9D85C-89A5-4E76-971F-EBE076324129}</c15:txfldGUID>
                      <c15:f>Sheet2!$A$28</c15:f>
                      <c15:dlblFieldTableCache>
                        <c:ptCount val="1"/>
                        <c:pt idx="0">
                          <c:v>Νορβηγία</c:v>
                        </c:pt>
                      </c15:dlblFieldTableCache>
                    </c15:dlblFTEntry>
                  </c15:dlblFieldTable>
                  <c15:showDataLabelsRange val="0"/>
                </c:ext>
              </c:extLst>
            </c:dLbl>
            <c:dLbl>
              <c:idx val="24"/>
              <c:layout>
                <c:manualLayout>
                  <c:x val="-2.2129903170942052E-3"/>
                  <c:y val="-1.5525444478442225E-4"/>
                </c:manualLayout>
              </c:layout>
              <c:tx>
                <c:strRef>
                  <c:f>Sheet2!$A$29</c:f>
                  <c:strCache>
                    <c:ptCount val="1"/>
                    <c:pt idx="0">
                      <c:v>Πολωνία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1A-1610-4B54-9D3D-10EA6979FC9C}"/>
                </c:ext>
                <c:ext xmlns:c15="http://schemas.microsoft.com/office/drawing/2012/chart" uri="{CE6537A1-D6FC-4f65-9D91-7224C49458BB}">
                  <c15:spPr xmlns:c15="http://schemas.microsoft.com/office/drawing/2012/chart">
                    <a:prstGeom prst="rect">
                      <a:avLst/>
                    </a:prstGeom>
                  </c15:spPr>
                  <c15:dlblFieldTable>
                    <c15:dlblFTEntry>
                      <c15:txfldGUID>{E47F784A-7DB4-4857-82D9-937AA9940BB1}</c15:txfldGUID>
                      <c15:f>Sheet2!$A$29</c15:f>
                      <c15:dlblFieldTableCache>
                        <c:ptCount val="1"/>
                        <c:pt idx="0">
                          <c:v>Πολωνία</c:v>
                        </c:pt>
                      </c15:dlblFieldTableCache>
                    </c15:dlblFTEntry>
                  </c15:dlblFieldTable>
                  <c15:showDataLabelsRange val="0"/>
                </c:ext>
              </c:extLst>
            </c:dLbl>
            <c:dLbl>
              <c:idx val="25"/>
              <c:layout>
                <c:manualLayout>
                  <c:x val="-8.3362605450404262E-2"/>
                  <c:y val="-2.3625386049358668E-2"/>
                </c:manualLayout>
              </c:layout>
              <c:tx>
                <c:strRef>
                  <c:f>Sheet2!$A$30</c:f>
                  <c:strCache>
                    <c:ptCount val="1"/>
                    <c:pt idx="0">
                      <c:v>Πορτογαλία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1B-1610-4B54-9D3D-10EA6979FC9C}"/>
                </c:ext>
                <c:ext xmlns:c15="http://schemas.microsoft.com/office/drawing/2012/chart" uri="{CE6537A1-D6FC-4f65-9D91-7224C49458BB}">
                  <c15:spPr xmlns:c15="http://schemas.microsoft.com/office/drawing/2012/chart">
                    <a:prstGeom prst="rect">
                      <a:avLst/>
                    </a:prstGeom>
                  </c15:spPr>
                  <c15:dlblFieldTable>
                    <c15:dlblFTEntry>
                      <c15:txfldGUID>{9F075D50-945C-454E-82C0-B677944499EA}</c15:txfldGUID>
                      <c15:f>Sheet2!$A$30</c15:f>
                      <c15:dlblFieldTableCache>
                        <c:ptCount val="1"/>
                        <c:pt idx="0">
                          <c:v>Πορτογαλία</c:v>
                        </c:pt>
                      </c15:dlblFieldTableCache>
                    </c15:dlblFTEntry>
                  </c15:dlblFieldTable>
                  <c15:showDataLabelsRange val="0"/>
                </c:ext>
              </c:extLst>
            </c:dLbl>
            <c:dLbl>
              <c:idx val="26"/>
              <c:layout>
                <c:manualLayout>
                  <c:x val="-2.2780191699944292E-3"/>
                  <c:y val="-9.6621314561829536E-4"/>
                </c:manualLayout>
              </c:layout>
              <c:tx>
                <c:strRef>
                  <c:f>Sheet2!$A$31</c:f>
                  <c:strCache>
                    <c:ptCount val="1"/>
                    <c:pt idx="0">
                      <c:v>Σλοβακία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1C-1610-4B54-9D3D-10EA6979FC9C}"/>
                </c:ext>
                <c:ext xmlns:c15="http://schemas.microsoft.com/office/drawing/2012/chart" uri="{CE6537A1-D6FC-4f65-9D91-7224C49458BB}">
                  <c15:spPr xmlns:c15="http://schemas.microsoft.com/office/drawing/2012/chart">
                    <a:prstGeom prst="rect">
                      <a:avLst/>
                    </a:prstGeom>
                  </c15:spPr>
                  <c15:dlblFieldTable>
                    <c15:dlblFTEntry>
                      <c15:txfldGUID>{B184CC8F-13A5-41DB-9AB6-58F4BE9192A9}</c15:txfldGUID>
                      <c15:f>Sheet2!$A$31</c15:f>
                      <c15:dlblFieldTableCache>
                        <c:ptCount val="1"/>
                        <c:pt idx="0">
                          <c:v>Σλοβακία</c:v>
                        </c:pt>
                      </c15:dlblFieldTableCache>
                    </c15:dlblFTEntry>
                  </c15:dlblFieldTable>
                  <c15:showDataLabelsRange val="0"/>
                </c:ext>
              </c:extLst>
            </c:dLbl>
            <c:dLbl>
              <c:idx val="27"/>
              <c:layout>
                <c:manualLayout>
                  <c:x val="-2.2834991295084452E-3"/>
                  <c:y val="-2.6951578049210645E-4"/>
                </c:manualLayout>
              </c:layout>
              <c:tx>
                <c:strRef>
                  <c:f>Sheet2!$A$32</c:f>
                  <c:strCache>
                    <c:ptCount val="1"/>
                    <c:pt idx="0">
                      <c:v>Σλοβενία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1D-1610-4B54-9D3D-10EA6979FC9C}"/>
                </c:ext>
                <c:ext xmlns:c15="http://schemas.microsoft.com/office/drawing/2012/chart" uri="{CE6537A1-D6FC-4f65-9D91-7224C49458BB}">
                  <c15:spPr xmlns:c15="http://schemas.microsoft.com/office/drawing/2012/chart">
                    <a:prstGeom prst="rect">
                      <a:avLst/>
                    </a:prstGeom>
                  </c15:spPr>
                  <c15:dlblFieldTable>
                    <c15:dlblFTEntry>
                      <c15:txfldGUID>{8EE3A7FC-32D4-412A-87C4-E059E7C68DE5}</c15:txfldGUID>
                      <c15:f>Sheet2!$A$32</c15:f>
                      <c15:dlblFieldTableCache>
                        <c:ptCount val="1"/>
                        <c:pt idx="0">
                          <c:v>Σλοβενία</c:v>
                        </c:pt>
                      </c15:dlblFieldTableCache>
                    </c15:dlblFTEntry>
                  </c15:dlblFieldTable>
                  <c15:showDataLabelsRange val="0"/>
                </c:ext>
              </c:extLst>
            </c:dLbl>
            <c:dLbl>
              <c:idx val="28"/>
              <c:layout>
                <c:manualLayout>
                  <c:x val="-4.5694331134249139E-3"/>
                  <c:y val="-1.1525889796827614E-4"/>
                </c:manualLayout>
              </c:layout>
              <c:tx>
                <c:strRef>
                  <c:f>Sheet2!$A$33</c:f>
                  <c:strCache>
                    <c:ptCount val="1"/>
                    <c:pt idx="0">
                      <c:v>Ισπανία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1E-1610-4B54-9D3D-10EA6979FC9C}"/>
                </c:ext>
                <c:ext xmlns:c15="http://schemas.microsoft.com/office/drawing/2012/chart" uri="{CE6537A1-D6FC-4f65-9D91-7224C49458BB}">
                  <c15:spPr xmlns:c15="http://schemas.microsoft.com/office/drawing/2012/chart">
                    <a:prstGeom prst="rect">
                      <a:avLst/>
                    </a:prstGeom>
                  </c15:spPr>
                  <c15:dlblFieldTable>
                    <c15:dlblFTEntry>
                      <c15:txfldGUID>{563BA882-370E-4F3D-8B8D-7B5182F8764B}</c15:txfldGUID>
                      <c15:f>Sheet2!$A$33</c15:f>
                      <c15:dlblFieldTableCache>
                        <c:ptCount val="1"/>
                        <c:pt idx="0">
                          <c:v>Ισπανία</c:v>
                        </c:pt>
                      </c15:dlblFieldTableCache>
                    </c15:dlblFTEntry>
                  </c15:dlblFieldTable>
                  <c15:showDataLabelsRange val="0"/>
                </c:ext>
              </c:extLst>
            </c:dLbl>
            <c:dLbl>
              <c:idx val="29"/>
              <c:layout>
                <c:manualLayout>
                  <c:x val="-4.2670618082806125E-3"/>
                  <c:y val="6.0933196071339432E-4"/>
                </c:manualLayout>
              </c:layout>
              <c:tx>
                <c:strRef>
                  <c:f>Sheet2!$A$34</c:f>
                  <c:strCache>
                    <c:ptCount val="1"/>
                    <c:pt idx="0">
                      <c:v>Σουηδία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1F-1610-4B54-9D3D-10EA6979FC9C}"/>
                </c:ext>
                <c:ext xmlns:c15="http://schemas.microsoft.com/office/drawing/2012/chart" uri="{CE6537A1-D6FC-4f65-9D91-7224C49458BB}">
                  <c15:spPr xmlns:c15="http://schemas.microsoft.com/office/drawing/2012/chart">
                    <a:prstGeom prst="rect">
                      <a:avLst/>
                    </a:prstGeom>
                  </c15:spPr>
                  <c15:dlblFieldTable>
                    <c15:dlblFTEntry>
                      <c15:txfldGUID>{69518E78-8F9E-4490-B6EA-739631DB5B1B}</c15:txfldGUID>
                      <c15:f>Sheet2!$A$34</c15:f>
                      <c15:dlblFieldTableCache>
                        <c:ptCount val="1"/>
                        <c:pt idx="0">
                          <c:v>Σουηδία</c:v>
                        </c:pt>
                      </c15:dlblFieldTableCache>
                    </c15:dlblFTEntry>
                  </c15:dlblFieldTable>
                  <c15:showDataLabelsRange val="0"/>
                </c:ext>
              </c:extLst>
            </c:dLbl>
            <c:dLbl>
              <c:idx val="30"/>
              <c:layout>
                <c:manualLayout>
                  <c:x val="-1.8140492644707267E-3"/>
                  <c:y val="5.9504929374994424E-4"/>
                </c:manualLayout>
              </c:layout>
              <c:tx>
                <c:strRef>
                  <c:f>Sheet2!$A$35</c:f>
                  <c:strCache>
                    <c:ptCount val="1"/>
                    <c:pt idx="0">
                      <c:v>Ελβετία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20-1610-4B54-9D3D-10EA6979FC9C}"/>
                </c:ext>
                <c:ext xmlns:c15="http://schemas.microsoft.com/office/drawing/2012/chart" uri="{CE6537A1-D6FC-4f65-9D91-7224C49458BB}">
                  <c15:spPr xmlns:c15="http://schemas.microsoft.com/office/drawing/2012/chart">
                    <a:prstGeom prst="rect">
                      <a:avLst/>
                    </a:prstGeom>
                  </c15:spPr>
                  <c15:dlblFieldTable>
                    <c15:dlblFTEntry>
                      <c15:txfldGUID>{923DABFC-F477-4A27-861A-C2C064995C91}</c15:txfldGUID>
                      <c15:f>Sheet2!$A$35</c15:f>
                      <c15:dlblFieldTableCache>
                        <c:ptCount val="1"/>
                        <c:pt idx="0">
                          <c:v>Ελβετία</c:v>
                        </c:pt>
                      </c15:dlblFieldTableCache>
                    </c15:dlblFTEntry>
                  </c15:dlblFieldTable>
                  <c15:showDataLabelsRange val="0"/>
                </c:ext>
              </c:extLst>
            </c:dLbl>
            <c:dLbl>
              <c:idx val="31"/>
              <c:layout>
                <c:manualLayout>
                  <c:x val="-7.3558227218484012E-2"/>
                  <c:y val="-3.5306010776923703E-3"/>
                </c:manualLayout>
              </c:layout>
              <c:tx>
                <c:strRef>
                  <c:f>Sheet2!$A$36</c:f>
                  <c:strCache>
                    <c:ptCount val="1"/>
                    <c:pt idx="0">
                      <c:v>Τουρκία</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21-1610-4B54-9D3D-10EA6979FC9C}"/>
                </c:ext>
                <c:ext xmlns:c15="http://schemas.microsoft.com/office/drawing/2012/chart" uri="{CE6537A1-D6FC-4f65-9D91-7224C49458BB}">
                  <c15:spPr xmlns:c15="http://schemas.microsoft.com/office/drawing/2012/chart">
                    <a:prstGeom prst="rect">
                      <a:avLst/>
                    </a:prstGeom>
                  </c15:spPr>
                  <c15:dlblFieldTable>
                    <c15:dlblFTEntry>
                      <c15:txfldGUID>{CBD90D03-E6FC-4916-955E-3A1CEF33ABDC}</c15:txfldGUID>
                      <c15:f>Sheet2!$A$36</c15:f>
                      <c15:dlblFieldTableCache>
                        <c:ptCount val="1"/>
                        <c:pt idx="0">
                          <c:v>Τουρκία</c:v>
                        </c:pt>
                      </c15:dlblFieldTableCache>
                    </c15:dlblFTEntry>
                  </c15:dlblFieldTable>
                  <c15:showDataLabelsRange val="0"/>
                </c:ext>
              </c:extLst>
            </c:dLbl>
            <c:dLbl>
              <c:idx val="32"/>
              <c:layout>
                <c:manualLayout>
                  <c:x val="-4.8468597913999226E-2"/>
                  <c:y val="-2.6988304907116296E-2"/>
                </c:manualLayout>
              </c:layout>
              <c:tx>
                <c:strRef>
                  <c:f>Sheet2!$A$37</c:f>
                  <c:strCache>
                    <c:ptCount val="1"/>
                    <c:pt idx="0">
                      <c:v>Ηνωμένο Βασίλειο</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22-1610-4B54-9D3D-10EA6979FC9C}"/>
                </c:ext>
                <c:ext xmlns:c15="http://schemas.microsoft.com/office/drawing/2012/chart" uri="{CE6537A1-D6FC-4f65-9D91-7224C49458BB}">
                  <c15:spPr xmlns:c15="http://schemas.microsoft.com/office/drawing/2012/chart">
                    <a:prstGeom prst="rect">
                      <a:avLst/>
                    </a:prstGeom>
                  </c15:spPr>
                  <c15:dlblFieldTable>
                    <c15:dlblFTEntry>
                      <c15:txfldGUID>{EA69DF7D-E277-4F8B-8D29-41C91FDDE029}</c15:txfldGUID>
                      <c15:f>Sheet2!$A$37</c15:f>
                      <c15:dlblFieldTableCache>
                        <c:ptCount val="1"/>
                        <c:pt idx="0">
                          <c:v>Ηνωμένο Βασίλειο</c:v>
                        </c:pt>
                      </c15:dlblFieldTableCache>
                    </c15:dlblFTEntry>
                  </c15:dlblFieldTable>
                  <c15:showDataLabelsRange val="0"/>
                </c:ext>
              </c:extLst>
            </c:dLbl>
            <c:dLbl>
              <c:idx val="33"/>
              <c:layout>
                <c:manualLayout>
                  <c:x val="-2.3251468218153802E-3"/>
                  <c:y val="-6.7054339055675274E-4"/>
                </c:manualLayout>
              </c:layout>
              <c:tx>
                <c:strRef>
                  <c:f>Sheet2!$A$38</c:f>
                  <c:strCache>
                    <c:ptCount val="1"/>
                    <c:pt idx="0">
                      <c:v>Ηνωμένες Πολιτείες</c:v>
                    </c:pt>
                  </c:strCache>
                </c:strRef>
              </c:tx>
              <c:spPr>
                <a:noFill/>
                <a:ln>
                  <a:noFill/>
                </a:ln>
              </c:spPr>
              <c:txPr>
                <a:bodyPr vertOverflow="clip" horzOverflow="clip" wrap="none" lIns="0" tIns="0" rIns="0" bIns="0">
                  <a:noAutofit/>
                </a:bodyPr>
                <a:lstStyle/>
                <a:p>
                  <a:pPr>
                    <a:defRPr sz="600"/>
                  </a:pPr>
                  <a:endParaRPr lang="el-GR"/>
                </a:p>
              </c:txPr>
              <c:dLblPos val="r"/>
              <c:extLst xmlns:c16r2="http://schemas.microsoft.com/office/drawing/2015/06/chart">
                <c:ext xmlns:c16="http://schemas.microsoft.com/office/drawing/2014/chart" uri="{C3380CC4-5D6E-409C-BE32-E72D297353CC}">
                  <c16:uniqueId val="{00000023-1610-4B54-9D3D-10EA6979FC9C}"/>
                </c:ext>
                <c:ext xmlns:c15="http://schemas.microsoft.com/office/drawing/2012/chart" uri="{CE6537A1-D6FC-4f65-9D91-7224C49458BB}">
                  <c15:spPr xmlns:c15="http://schemas.microsoft.com/office/drawing/2012/chart">
                    <a:prstGeom prst="rect">
                      <a:avLst/>
                    </a:prstGeom>
                  </c15:spPr>
                  <c15:dlblFieldTable>
                    <c15:dlblFTEntry>
                      <c15:txfldGUID>{33190B67-9522-441D-ABBB-5B70924F1C99}</c15:txfldGUID>
                      <c15:f>Sheet2!$A$38</c15:f>
                      <c15:dlblFieldTableCache>
                        <c:ptCount val="1"/>
                        <c:pt idx="0">
                          <c:v>Ηνωμένες Πολιτείες</c:v>
                        </c:pt>
                      </c15:dlblFieldTableCache>
                    </c15:dlblFTEntry>
                  </c15:dlblFieldTable>
                  <c15:showDataLabelsRange val="0"/>
                </c:ext>
              </c:extLst>
            </c:dLbl>
            <c:spPr>
              <a:noFill/>
              <a:ln w="25400">
                <a:noFill/>
              </a:ln>
            </c:spPr>
            <c:txPr>
              <a:bodyPr vertOverflow="clip" horzOverflow="clip" wrap="none" lIns="0" tIns="0" rIns="0" bIns="0">
                <a:noAutofit/>
              </a:bodyPr>
              <a:lstStyle/>
              <a:p>
                <a:pPr>
                  <a:defRPr sz="600"/>
                </a:pPr>
                <a:endParaRPr lang="el-GR"/>
              </a:p>
            </c:txPr>
            <c:showVal val="1"/>
            <c:extLst xmlns:c16r2="http://schemas.microsoft.com/office/drawing/2015/06/chart">
              <c:ext xmlns:c15="http://schemas.microsoft.com/office/drawing/2012/chart" uri="{CE6537A1-D6FC-4f65-9D91-7224C49458BB}">
                <c15:showLeaderLines val="0"/>
              </c:ext>
            </c:extLst>
          </c:dLbls>
          <c:trendline>
            <c:spPr>
              <a:ln w="12700">
                <a:noFill/>
                <a:prstDash val="solid"/>
              </a:ln>
            </c:spPr>
            <c:trendlineType val="linear"/>
          </c:trendline>
          <c:xVal>
            <c:numRef>
              <c:f>Sheet2!$V$5:$V$38</c:f>
              <c:numCache>
                <c:formatCode>0.00</c:formatCode>
                <c:ptCount val="34"/>
                <c:pt idx="0">
                  <c:v>39.42</c:v>
                </c:pt>
                <c:pt idx="1">
                  <c:v>30.97</c:v>
                </c:pt>
                <c:pt idx="2">
                  <c:v>37.5</c:v>
                </c:pt>
                <c:pt idx="3">
                  <c:v>68.23</c:v>
                </c:pt>
                <c:pt idx="4">
                  <c:v>0</c:v>
                </c:pt>
                <c:pt idx="5">
                  <c:v>23.54</c:v>
                </c:pt>
                <c:pt idx="6">
                  <c:v>61.96</c:v>
                </c:pt>
                <c:pt idx="7">
                  <c:v>25.58</c:v>
                </c:pt>
                <c:pt idx="8">
                  <c:v>40.65</c:v>
                </c:pt>
                <c:pt idx="9">
                  <c:v>20.52</c:v>
                </c:pt>
                <c:pt idx="10">
                  <c:v>38.96</c:v>
                </c:pt>
                <c:pt idx="11">
                  <c:v>5.8</c:v>
                </c:pt>
                <c:pt idx="12">
                  <c:v>14.97</c:v>
                </c:pt>
                <c:pt idx="13">
                  <c:v>29.49</c:v>
                </c:pt>
                <c:pt idx="14">
                  <c:v>9.64</c:v>
                </c:pt>
                <c:pt idx="15">
                  <c:v>12.66</c:v>
                </c:pt>
                <c:pt idx="16">
                  <c:v>28.64</c:v>
                </c:pt>
                <c:pt idx="17">
                  <c:v>29.4</c:v>
                </c:pt>
                <c:pt idx="18">
                  <c:v>34.410000000000004</c:v>
                </c:pt>
                <c:pt idx="19">
                  <c:v>10.67</c:v>
                </c:pt>
                <c:pt idx="20">
                  <c:v>46.690000000000012</c:v>
                </c:pt>
                <c:pt idx="21">
                  <c:v>30.2</c:v>
                </c:pt>
                <c:pt idx="22">
                  <c:v>11.26</c:v>
                </c:pt>
                <c:pt idx="23">
                  <c:v>33.56</c:v>
                </c:pt>
                <c:pt idx="24">
                  <c:v>30.74</c:v>
                </c:pt>
                <c:pt idx="25">
                  <c:v>13.21</c:v>
                </c:pt>
                <c:pt idx="26">
                  <c:v>15.67</c:v>
                </c:pt>
                <c:pt idx="27">
                  <c:v>16.05</c:v>
                </c:pt>
                <c:pt idx="28">
                  <c:v>42.3</c:v>
                </c:pt>
                <c:pt idx="29">
                  <c:v>46.99</c:v>
                </c:pt>
                <c:pt idx="30">
                  <c:v>57.03</c:v>
                </c:pt>
                <c:pt idx="31">
                  <c:v>9.59</c:v>
                </c:pt>
                <c:pt idx="32">
                  <c:v>25.08</c:v>
                </c:pt>
                <c:pt idx="33">
                  <c:v>48.09</c:v>
                </c:pt>
              </c:numCache>
            </c:numRef>
          </c:xVal>
          <c:yVal>
            <c:numRef>
              <c:f>Sheet2!$O$5:$O$38</c:f>
              <c:numCache>
                <c:formatCode>General</c:formatCode>
                <c:ptCount val="34"/>
                <c:pt idx="0">
                  <c:v>37.96</c:v>
                </c:pt>
                <c:pt idx="1">
                  <c:v>9.620000000000001</c:v>
                </c:pt>
                <c:pt idx="2">
                  <c:v>17.47</c:v>
                </c:pt>
                <c:pt idx="3">
                  <c:v>54.65</c:v>
                </c:pt>
                <c:pt idx="5">
                  <c:v>18.43</c:v>
                </c:pt>
                <c:pt idx="6">
                  <c:v>27.45</c:v>
                </c:pt>
                <c:pt idx="7">
                  <c:v>15.49</c:v>
                </c:pt>
                <c:pt idx="8">
                  <c:v>29.35</c:v>
                </c:pt>
                <c:pt idx="9">
                  <c:v>15.63</c:v>
                </c:pt>
                <c:pt idx="10">
                  <c:v>35.57</c:v>
                </c:pt>
                <c:pt idx="11">
                  <c:v>3.09</c:v>
                </c:pt>
                <c:pt idx="12">
                  <c:v>9.82</c:v>
                </c:pt>
                <c:pt idx="13">
                  <c:v>26.959999999999987</c:v>
                </c:pt>
                <c:pt idx="14">
                  <c:v>6.1599999999999975</c:v>
                </c:pt>
                <c:pt idx="15">
                  <c:v>9.64</c:v>
                </c:pt>
                <c:pt idx="16">
                  <c:v>18.97</c:v>
                </c:pt>
                <c:pt idx="17">
                  <c:v>33.82</c:v>
                </c:pt>
                <c:pt idx="18">
                  <c:v>33.880000000000003</c:v>
                </c:pt>
                <c:pt idx="19">
                  <c:v>5.6</c:v>
                </c:pt>
                <c:pt idx="20">
                  <c:v>16.779999999999987</c:v>
                </c:pt>
                <c:pt idx="21">
                  <c:v>9.39</c:v>
                </c:pt>
                <c:pt idx="22">
                  <c:v>10.28</c:v>
                </c:pt>
                <c:pt idx="23">
                  <c:v>14.34</c:v>
                </c:pt>
                <c:pt idx="24">
                  <c:v>17.23</c:v>
                </c:pt>
                <c:pt idx="25">
                  <c:v>10.93</c:v>
                </c:pt>
                <c:pt idx="26">
                  <c:v>5.78</c:v>
                </c:pt>
                <c:pt idx="27">
                  <c:v>13.1</c:v>
                </c:pt>
                <c:pt idx="28">
                  <c:v>27.259999999999987</c:v>
                </c:pt>
                <c:pt idx="29">
                  <c:v>34.61</c:v>
                </c:pt>
                <c:pt idx="30">
                  <c:v>48.06</c:v>
                </c:pt>
                <c:pt idx="31">
                  <c:v>10.41</c:v>
                </c:pt>
                <c:pt idx="32">
                  <c:v>9.02</c:v>
                </c:pt>
                <c:pt idx="33">
                  <c:v>42.54</c:v>
                </c:pt>
              </c:numCache>
            </c:numRef>
          </c:yVal>
          <c:extLst xmlns:c16r2="http://schemas.microsoft.com/office/drawing/2015/06/chart">
            <c:ext xmlns:c16="http://schemas.microsoft.com/office/drawing/2014/chart" uri="{C3380CC4-5D6E-409C-BE32-E72D297353CC}">
              <c16:uniqueId val="{00000025-1610-4B54-9D3D-10EA6979FC9C}"/>
            </c:ext>
          </c:extLst>
        </c:ser>
        <c:ser>
          <c:idx val="1"/>
          <c:order val="1"/>
          <c:spPr>
            <a:ln w="15875">
              <a:solidFill>
                <a:schemeClr val="tx1">
                  <a:lumMod val="95000"/>
                  <a:lumOff val="5000"/>
                </a:schemeClr>
              </a:solidFill>
            </a:ln>
          </c:spPr>
          <c:marker>
            <c:symbol val="none"/>
          </c:marker>
          <c:xVal>
            <c:numRef>
              <c:f>Sheet2!$W$5:$W$39</c:f>
              <c:numCache>
                <c:formatCode>General</c:formatCode>
                <c:ptCount val="35"/>
                <c:pt idx="0">
                  <c:v>0</c:v>
                </c:pt>
                <c:pt idx="1">
                  <c:v>10</c:v>
                </c:pt>
                <c:pt idx="2">
                  <c:v>20</c:v>
                </c:pt>
                <c:pt idx="3">
                  <c:v>30</c:v>
                </c:pt>
                <c:pt idx="4">
                  <c:v>40</c:v>
                </c:pt>
                <c:pt idx="5">
                  <c:v>50</c:v>
                </c:pt>
                <c:pt idx="6">
                  <c:v>60</c:v>
                </c:pt>
                <c:pt idx="7">
                  <c:v>70</c:v>
                </c:pt>
                <c:pt idx="34">
                  <c:v>70</c:v>
                </c:pt>
              </c:numCache>
            </c:numRef>
          </c:xVal>
          <c:yVal>
            <c:numRef>
              <c:f>Sheet2!$X$5:$X$40</c:f>
              <c:numCache>
                <c:formatCode>General</c:formatCode>
                <c:ptCount val="36"/>
                <c:pt idx="0">
                  <c:v>0</c:v>
                </c:pt>
                <c:pt idx="1">
                  <c:v>10</c:v>
                </c:pt>
                <c:pt idx="2">
                  <c:v>20</c:v>
                </c:pt>
                <c:pt idx="3">
                  <c:v>30</c:v>
                </c:pt>
                <c:pt idx="4">
                  <c:v>40</c:v>
                </c:pt>
                <c:pt idx="5">
                  <c:v>50</c:v>
                </c:pt>
                <c:pt idx="6">
                  <c:v>60</c:v>
                </c:pt>
                <c:pt idx="7">
                  <c:v>70</c:v>
                </c:pt>
                <c:pt idx="34">
                  <c:v>70</c:v>
                </c:pt>
              </c:numCache>
            </c:numRef>
          </c:yVal>
          <c:extLst xmlns:c16r2="http://schemas.microsoft.com/office/drawing/2015/06/chart">
            <c:ext xmlns:c16="http://schemas.microsoft.com/office/drawing/2014/chart" uri="{C3380CC4-5D6E-409C-BE32-E72D297353CC}">
              <c16:uniqueId val="{00000026-1610-4B54-9D3D-10EA6979FC9C}"/>
            </c:ext>
          </c:extLst>
        </c:ser>
        <c:axId val="192098688"/>
        <c:axId val="192100608"/>
      </c:scatterChart>
      <c:valAx>
        <c:axId val="192098688"/>
        <c:scaling>
          <c:orientation val="minMax"/>
          <c:max val="70"/>
        </c:scaling>
        <c:axPos val="b"/>
        <c:majorGridlines>
          <c:spPr>
            <a:ln w="6350">
              <a:solidFill>
                <a:schemeClr val="bg1">
                  <a:lumMod val="75000"/>
                </a:schemeClr>
              </a:solidFill>
            </a:ln>
          </c:spPr>
        </c:majorGridlines>
        <c:title>
          <c:tx>
            <c:rich>
              <a:bodyPr/>
              <a:lstStyle/>
              <a:p>
                <a:pPr>
                  <a:defRPr sz="900" b="1"/>
                </a:pPr>
                <a:r>
                  <a:rPr lang="el-GR" sz="900" b="1"/>
                  <a:t>Συμμετοχή</a:t>
                </a:r>
                <a:r>
                  <a:rPr lang="el-GR" sz="900" b="1" baseline="0"/>
                  <a:t> με κεντρικών διοικήσεων στις δημόσιες δαπάνες (%) </a:t>
                </a:r>
                <a:endParaRPr lang="en-GB" sz="900" b="1"/>
              </a:p>
            </c:rich>
          </c:tx>
        </c:title>
        <c:numFmt formatCode="0" sourceLinked="0"/>
        <c:tickLblPos val="nextTo"/>
        <c:txPr>
          <a:bodyPr rot="0" vert="horz"/>
          <a:lstStyle/>
          <a:p>
            <a:pPr>
              <a:defRPr sz="1000" b="0" i="0" u="none" strike="noStrike" baseline="0">
                <a:solidFill>
                  <a:srgbClr val="000000"/>
                </a:solidFill>
                <a:latin typeface="Arial Narrow"/>
                <a:ea typeface="Arial Narrow"/>
                <a:cs typeface="Arial Narrow"/>
              </a:defRPr>
            </a:pPr>
            <a:endParaRPr lang="el-GR"/>
          </a:p>
        </c:txPr>
        <c:crossAx val="192100608"/>
        <c:crosses val="autoZero"/>
        <c:crossBetween val="midCat"/>
      </c:valAx>
      <c:valAx>
        <c:axId val="192100608"/>
        <c:scaling>
          <c:orientation val="minMax"/>
          <c:max val="70"/>
          <c:min val="0"/>
        </c:scaling>
        <c:axPos val="l"/>
        <c:majorGridlines>
          <c:spPr>
            <a:ln w="6350">
              <a:solidFill>
                <a:schemeClr val="bg1">
                  <a:lumMod val="75000"/>
                </a:schemeClr>
              </a:solidFill>
            </a:ln>
          </c:spPr>
        </c:majorGridlines>
        <c:title>
          <c:tx>
            <c:rich>
              <a:bodyPr rot="-5400000" vert="horz"/>
              <a:lstStyle/>
              <a:p>
                <a:pPr>
                  <a:defRPr sz="900" b="1"/>
                </a:pPr>
                <a:r>
                  <a:rPr lang="el-GR" sz="900" b="1"/>
                  <a:t>Συμμετοχή μη κεντρικών</a:t>
                </a:r>
                <a:r>
                  <a:rPr lang="el-GR" sz="900" b="1" baseline="0"/>
                  <a:t> ιοικήσεων στα δημόσια έσοδα </a:t>
                </a:r>
                <a:r>
                  <a:rPr lang="el-GR" sz="900" b="1"/>
                  <a:t> (%)</a:t>
                </a:r>
                <a:r>
                  <a:rPr lang="el-GR" sz="900" b="1" baseline="0"/>
                  <a:t> </a:t>
                </a:r>
                <a:r>
                  <a:rPr lang="el-GR" sz="900" b="1"/>
                  <a:t> </a:t>
                </a:r>
                <a:endParaRPr lang="en-GB" sz="900" b="1"/>
              </a:p>
            </c:rich>
          </c:tx>
        </c:title>
        <c:numFmt formatCode="General" sourceLinked="1"/>
        <c:tickLblPos val="nextTo"/>
        <c:crossAx val="192098688"/>
        <c:crosses val="autoZero"/>
        <c:crossBetween val="midCat"/>
      </c:valAx>
      <c:spPr>
        <a:solidFill>
          <a:schemeClr val="bg1">
            <a:lumMod val="95000"/>
          </a:schemeClr>
        </a:solidFill>
        <a:ln w="25400">
          <a:noFill/>
        </a:ln>
      </c:spPr>
    </c:plotArea>
    <c:plotVisOnly val="1"/>
    <c:dispBlanksAs val="gap"/>
  </c:chart>
  <c:txPr>
    <a:bodyPr/>
    <a:lstStyle/>
    <a:p>
      <a:pPr>
        <a:defRPr>
          <a:latin typeface="Arial Narrow" panose="020B0606020202030204" pitchFamily="34" charset="0"/>
        </a:defRPr>
      </a:pPr>
      <a:endParaRPr lang="el-GR"/>
    </a:p>
  </c:txPr>
  <c:externalData r:id="rId1"/>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E8CB8-0787-47C4-8FDD-7DE05FF2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3389</Words>
  <Characters>18304</Characters>
  <Application>Microsoft Office Word</Application>
  <DocSecurity>0</DocSecurity>
  <Lines>152</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2017-09-16T16:07:00Z</dcterms:created>
  <dcterms:modified xsi:type="dcterms:W3CDTF">2017-09-16T16:07:00Z</dcterms:modified>
</cp:coreProperties>
</file>