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20" w:rsidRPr="000A314F" w:rsidRDefault="00EB6491" w:rsidP="0068504F">
      <w:pPr>
        <w:jc w:val="center"/>
        <w:rPr>
          <w:b/>
          <w:sz w:val="24"/>
          <w:szCs w:val="24"/>
          <w:u w:val="single"/>
        </w:rPr>
      </w:pPr>
      <w:r w:rsidRPr="0068504F">
        <w:rPr>
          <w:b/>
          <w:sz w:val="24"/>
          <w:szCs w:val="24"/>
          <w:u w:val="single"/>
        </w:rPr>
        <w:t xml:space="preserve">Κατάλογος </w:t>
      </w:r>
      <w:r w:rsidR="00C8161F">
        <w:rPr>
          <w:b/>
          <w:sz w:val="24"/>
          <w:szCs w:val="24"/>
          <w:u w:val="single"/>
        </w:rPr>
        <w:t>Εγκεκριμένων</w:t>
      </w:r>
      <w:r w:rsidR="0014634F">
        <w:rPr>
          <w:b/>
          <w:sz w:val="24"/>
          <w:szCs w:val="24"/>
          <w:u w:val="single"/>
        </w:rPr>
        <w:t xml:space="preserve"> </w:t>
      </w:r>
      <w:r w:rsidR="0068504F" w:rsidRPr="0068504F">
        <w:rPr>
          <w:b/>
          <w:sz w:val="24"/>
          <w:szCs w:val="24"/>
          <w:u w:val="single"/>
        </w:rPr>
        <w:t>Π</w:t>
      </w:r>
      <w:r w:rsidRPr="0068504F">
        <w:rPr>
          <w:b/>
          <w:sz w:val="24"/>
          <w:szCs w:val="24"/>
          <w:u w:val="single"/>
        </w:rPr>
        <w:t>ροτάσεων</w:t>
      </w:r>
      <w:r w:rsidR="0068504F" w:rsidRPr="0068504F">
        <w:rPr>
          <w:b/>
          <w:sz w:val="24"/>
          <w:szCs w:val="24"/>
          <w:u w:val="single"/>
        </w:rPr>
        <w:t xml:space="preserve"> στο πλαίσιο του Μηχανισμού «Συνδέοντας την Ευρώπη» (</w:t>
      </w:r>
      <w:r w:rsidR="0068504F" w:rsidRPr="0068504F">
        <w:rPr>
          <w:b/>
          <w:sz w:val="24"/>
          <w:szCs w:val="24"/>
          <w:u w:val="single"/>
          <w:lang w:val="en-US"/>
        </w:rPr>
        <w:t>CEF</w:t>
      </w:r>
      <w:r w:rsidR="0068504F" w:rsidRPr="0068504F">
        <w:rPr>
          <w:b/>
          <w:sz w:val="24"/>
          <w:szCs w:val="24"/>
          <w:u w:val="single"/>
        </w:rPr>
        <w:t>) –</w:t>
      </w:r>
      <w:r w:rsidR="0068504F">
        <w:rPr>
          <w:b/>
          <w:sz w:val="24"/>
          <w:szCs w:val="24"/>
          <w:u w:val="single"/>
        </w:rPr>
        <w:t xml:space="preserve"> </w:t>
      </w:r>
      <w:r w:rsidR="0068504F" w:rsidRPr="0068504F">
        <w:rPr>
          <w:b/>
          <w:sz w:val="24"/>
          <w:szCs w:val="24"/>
          <w:u w:val="single"/>
        </w:rPr>
        <w:t>Τομέας Μεταφορών</w:t>
      </w:r>
      <w:r w:rsidR="0014634F">
        <w:rPr>
          <w:b/>
          <w:sz w:val="24"/>
          <w:szCs w:val="24"/>
          <w:u w:val="single"/>
        </w:rPr>
        <w:t xml:space="preserve"> </w:t>
      </w:r>
    </w:p>
    <w:p w:rsidR="000463A8" w:rsidRPr="000A314F" w:rsidRDefault="000463A8" w:rsidP="0068504F">
      <w:pPr>
        <w:jc w:val="center"/>
        <w:rPr>
          <w:b/>
          <w:sz w:val="24"/>
          <w:szCs w:val="24"/>
          <w:u w:val="single"/>
        </w:rPr>
      </w:pPr>
    </w:p>
    <w:p w:rsidR="000463A8" w:rsidRDefault="000463A8" w:rsidP="0068504F">
      <w:pPr>
        <w:jc w:val="center"/>
        <w:rPr>
          <w:b/>
          <w:sz w:val="24"/>
          <w:szCs w:val="24"/>
          <w:u w:val="single"/>
          <w:lang w:val="en-US"/>
        </w:rPr>
      </w:pPr>
      <w:r>
        <w:rPr>
          <w:b/>
          <w:sz w:val="24"/>
          <w:szCs w:val="24"/>
          <w:u w:val="single"/>
          <w:lang w:val="en-US"/>
        </w:rPr>
        <w:t>3</w:t>
      </w:r>
      <w:r w:rsidRPr="000463A8">
        <w:rPr>
          <w:b/>
          <w:sz w:val="24"/>
          <w:szCs w:val="24"/>
          <w:u w:val="single"/>
          <w:vertAlign w:val="superscript"/>
          <w:lang w:val="en-US"/>
        </w:rPr>
        <w:t>rd</w:t>
      </w:r>
      <w:r>
        <w:rPr>
          <w:b/>
          <w:sz w:val="24"/>
          <w:szCs w:val="24"/>
          <w:u w:val="single"/>
          <w:lang w:val="en-US"/>
        </w:rPr>
        <w:t xml:space="preserve"> Call CEF-Transport (2016)</w:t>
      </w:r>
    </w:p>
    <w:p w:rsidR="000463A8" w:rsidRPr="000463A8" w:rsidRDefault="000463A8" w:rsidP="0068504F">
      <w:pPr>
        <w:jc w:val="center"/>
        <w:rPr>
          <w:b/>
          <w:sz w:val="24"/>
          <w:szCs w:val="24"/>
          <w:u w:val="single"/>
          <w:lang w:val="en-US"/>
        </w:rPr>
      </w:pPr>
    </w:p>
    <w:tbl>
      <w:tblPr>
        <w:tblStyle w:val="a3"/>
        <w:tblW w:w="21689" w:type="dxa"/>
        <w:tblLayout w:type="fixed"/>
        <w:tblLook w:val="04A0" w:firstRow="1" w:lastRow="0" w:firstColumn="1" w:lastColumn="0" w:noHBand="0" w:noVBand="1"/>
      </w:tblPr>
      <w:tblGrid>
        <w:gridCol w:w="567"/>
        <w:gridCol w:w="2978"/>
        <w:gridCol w:w="1701"/>
        <w:gridCol w:w="1275"/>
        <w:gridCol w:w="1134"/>
        <w:gridCol w:w="1418"/>
        <w:gridCol w:w="1559"/>
        <w:gridCol w:w="1276"/>
        <w:gridCol w:w="1134"/>
        <w:gridCol w:w="850"/>
        <w:gridCol w:w="7797"/>
      </w:tblGrid>
      <w:tr w:rsidR="00C206FE" w:rsidRPr="00014859" w:rsidTr="009E6F5C">
        <w:trPr>
          <w:trHeight w:val="327"/>
        </w:trPr>
        <w:tc>
          <w:tcPr>
            <w:tcW w:w="567" w:type="dxa"/>
            <w:vMerge w:val="restart"/>
            <w:vAlign w:val="center"/>
          </w:tcPr>
          <w:p w:rsidR="00C206FE" w:rsidRPr="00014859" w:rsidRDefault="00C206FE" w:rsidP="004D1E8D">
            <w:pPr>
              <w:jc w:val="center"/>
              <w:rPr>
                <w:b/>
                <w:sz w:val="20"/>
                <w:szCs w:val="20"/>
              </w:rPr>
            </w:pPr>
            <w:r>
              <w:rPr>
                <w:b/>
                <w:sz w:val="20"/>
                <w:szCs w:val="20"/>
              </w:rPr>
              <w:t>Α/Α</w:t>
            </w:r>
          </w:p>
        </w:tc>
        <w:tc>
          <w:tcPr>
            <w:tcW w:w="2978" w:type="dxa"/>
            <w:vMerge w:val="restart"/>
            <w:vAlign w:val="center"/>
          </w:tcPr>
          <w:p w:rsidR="00C206FE" w:rsidRPr="00014859" w:rsidRDefault="00C206FE" w:rsidP="004D1E8D">
            <w:pPr>
              <w:jc w:val="center"/>
              <w:rPr>
                <w:b/>
                <w:sz w:val="20"/>
                <w:szCs w:val="20"/>
              </w:rPr>
            </w:pPr>
            <w:r w:rsidRPr="00014859">
              <w:rPr>
                <w:b/>
                <w:sz w:val="20"/>
                <w:szCs w:val="20"/>
              </w:rPr>
              <w:t>Τίτλος Πρότασης</w:t>
            </w:r>
          </w:p>
        </w:tc>
        <w:tc>
          <w:tcPr>
            <w:tcW w:w="1701" w:type="dxa"/>
            <w:vMerge w:val="restart"/>
          </w:tcPr>
          <w:p w:rsidR="00C206FE" w:rsidRDefault="00C206FE" w:rsidP="00C206FE">
            <w:pPr>
              <w:ind w:left="-108" w:right="-108"/>
              <w:jc w:val="center"/>
              <w:rPr>
                <w:b/>
                <w:sz w:val="20"/>
                <w:szCs w:val="20"/>
                <w:lang w:val="en-US"/>
              </w:rPr>
            </w:pPr>
          </w:p>
          <w:p w:rsidR="00C206FE" w:rsidRPr="00965D52" w:rsidRDefault="00C206FE" w:rsidP="00C206FE">
            <w:pPr>
              <w:ind w:left="-108" w:right="-108"/>
              <w:jc w:val="center"/>
              <w:rPr>
                <w:b/>
                <w:sz w:val="20"/>
                <w:szCs w:val="20"/>
              </w:rPr>
            </w:pPr>
            <w:r>
              <w:rPr>
                <w:b/>
                <w:sz w:val="20"/>
                <w:szCs w:val="20"/>
              </w:rPr>
              <w:t>Κωδικός</w:t>
            </w:r>
          </w:p>
        </w:tc>
        <w:tc>
          <w:tcPr>
            <w:tcW w:w="1275" w:type="dxa"/>
            <w:vMerge w:val="restart"/>
            <w:vAlign w:val="center"/>
          </w:tcPr>
          <w:p w:rsidR="00C206FE" w:rsidRPr="00014859" w:rsidRDefault="00C206FE" w:rsidP="00965D52">
            <w:pPr>
              <w:ind w:left="-108" w:right="-108"/>
              <w:jc w:val="center"/>
              <w:rPr>
                <w:b/>
                <w:sz w:val="20"/>
                <w:szCs w:val="20"/>
              </w:rPr>
            </w:pPr>
            <w:r w:rsidRPr="00014859">
              <w:rPr>
                <w:b/>
                <w:sz w:val="20"/>
                <w:szCs w:val="20"/>
              </w:rPr>
              <w:t>Φορέας Υποβολής</w:t>
            </w:r>
          </w:p>
        </w:tc>
        <w:tc>
          <w:tcPr>
            <w:tcW w:w="1134" w:type="dxa"/>
            <w:vMerge w:val="restart"/>
            <w:vAlign w:val="center"/>
          </w:tcPr>
          <w:p w:rsidR="00C206FE" w:rsidRPr="00014859" w:rsidRDefault="00C206FE" w:rsidP="00965D52">
            <w:pPr>
              <w:ind w:left="-108" w:right="-108"/>
              <w:jc w:val="center"/>
              <w:rPr>
                <w:b/>
                <w:sz w:val="20"/>
                <w:szCs w:val="20"/>
              </w:rPr>
            </w:pPr>
            <w:r w:rsidRPr="00014859">
              <w:rPr>
                <w:b/>
                <w:sz w:val="20"/>
                <w:szCs w:val="20"/>
              </w:rPr>
              <w:t>Τομέας</w:t>
            </w:r>
            <w:r w:rsidR="005F0EA2">
              <w:rPr>
                <w:b/>
                <w:sz w:val="20"/>
                <w:szCs w:val="20"/>
              </w:rPr>
              <w:t xml:space="preserve"> πρόσκλησης</w:t>
            </w:r>
          </w:p>
        </w:tc>
        <w:tc>
          <w:tcPr>
            <w:tcW w:w="6237" w:type="dxa"/>
            <w:gridSpan w:val="5"/>
          </w:tcPr>
          <w:p w:rsidR="00C206FE" w:rsidRPr="00014859" w:rsidRDefault="00C206FE" w:rsidP="004D1E8D">
            <w:pPr>
              <w:jc w:val="center"/>
              <w:rPr>
                <w:b/>
                <w:sz w:val="20"/>
                <w:szCs w:val="20"/>
              </w:rPr>
            </w:pPr>
            <w:r w:rsidRPr="00014859">
              <w:rPr>
                <w:b/>
                <w:sz w:val="20"/>
                <w:szCs w:val="20"/>
              </w:rPr>
              <w:t>Προϋπολογισμός</w:t>
            </w:r>
          </w:p>
        </w:tc>
        <w:tc>
          <w:tcPr>
            <w:tcW w:w="7797" w:type="dxa"/>
            <w:vMerge w:val="restart"/>
            <w:vAlign w:val="center"/>
          </w:tcPr>
          <w:p w:rsidR="00C206FE" w:rsidRPr="00014859" w:rsidRDefault="00C206FE" w:rsidP="004D1E8D">
            <w:pPr>
              <w:jc w:val="center"/>
              <w:rPr>
                <w:b/>
                <w:sz w:val="20"/>
                <w:szCs w:val="20"/>
              </w:rPr>
            </w:pPr>
            <w:r w:rsidRPr="00014859">
              <w:rPr>
                <w:b/>
                <w:sz w:val="20"/>
                <w:szCs w:val="20"/>
              </w:rPr>
              <w:t>Παρατηρήσεις</w:t>
            </w:r>
          </w:p>
        </w:tc>
      </w:tr>
      <w:tr w:rsidR="00C206FE" w:rsidRPr="00014859" w:rsidTr="009E6F5C">
        <w:trPr>
          <w:trHeight w:val="387"/>
        </w:trPr>
        <w:tc>
          <w:tcPr>
            <w:tcW w:w="567" w:type="dxa"/>
            <w:vMerge/>
            <w:vAlign w:val="center"/>
          </w:tcPr>
          <w:p w:rsidR="00C206FE" w:rsidRPr="00014859" w:rsidRDefault="00C206FE" w:rsidP="0068504F">
            <w:pPr>
              <w:jc w:val="center"/>
              <w:rPr>
                <w:b/>
                <w:sz w:val="20"/>
                <w:szCs w:val="20"/>
              </w:rPr>
            </w:pPr>
          </w:p>
        </w:tc>
        <w:tc>
          <w:tcPr>
            <w:tcW w:w="2978" w:type="dxa"/>
            <w:vMerge/>
            <w:vAlign w:val="center"/>
          </w:tcPr>
          <w:p w:rsidR="00C206FE" w:rsidRPr="00014859" w:rsidRDefault="00C206FE" w:rsidP="00EB6491">
            <w:pPr>
              <w:jc w:val="center"/>
              <w:rPr>
                <w:b/>
                <w:sz w:val="20"/>
                <w:szCs w:val="20"/>
              </w:rPr>
            </w:pPr>
          </w:p>
        </w:tc>
        <w:tc>
          <w:tcPr>
            <w:tcW w:w="1701" w:type="dxa"/>
            <w:vMerge/>
          </w:tcPr>
          <w:p w:rsidR="00C206FE" w:rsidRPr="00014859" w:rsidRDefault="00C206FE" w:rsidP="00C206FE">
            <w:pPr>
              <w:ind w:left="-108" w:right="-108"/>
              <w:jc w:val="center"/>
              <w:rPr>
                <w:b/>
                <w:sz w:val="20"/>
                <w:szCs w:val="20"/>
              </w:rPr>
            </w:pPr>
          </w:p>
        </w:tc>
        <w:tc>
          <w:tcPr>
            <w:tcW w:w="1275" w:type="dxa"/>
            <w:vMerge/>
          </w:tcPr>
          <w:p w:rsidR="00C206FE" w:rsidRPr="00014859" w:rsidRDefault="00C206FE" w:rsidP="00EB6491">
            <w:pPr>
              <w:jc w:val="center"/>
              <w:rPr>
                <w:b/>
                <w:sz w:val="20"/>
                <w:szCs w:val="20"/>
              </w:rPr>
            </w:pPr>
          </w:p>
        </w:tc>
        <w:tc>
          <w:tcPr>
            <w:tcW w:w="1134" w:type="dxa"/>
            <w:vMerge/>
            <w:vAlign w:val="center"/>
          </w:tcPr>
          <w:p w:rsidR="00C206FE" w:rsidRPr="00014859" w:rsidRDefault="00C206FE" w:rsidP="00965D52">
            <w:pPr>
              <w:ind w:left="-108" w:right="-108"/>
              <w:jc w:val="center"/>
              <w:rPr>
                <w:b/>
                <w:sz w:val="20"/>
                <w:szCs w:val="20"/>
              </w:rPr>
            </w:pPr>
          </w:p>
        </w:tc>
        <w:tc>
          <w:tcPr>
            <w:tcW w:w="1418" w:type="dxa"/>
            <w:vAlign w:val="center"/>
          </w:tcPr>
          <w:p w:rsidR="00C206FE" w:rsidRPr="00014859" w:rsidRDefault="00C206FE" w:rsidP="004D1E8D">
            <w:pPr>
              <w:jc w:val="center"/>
              <w:rPr>
                <w:b/>
                <w:sz w:val="20"/>
                <w:szCs w:val="20"/>
              </w:rPr>
            </w:pPr>
            <w:r w:rsidRPr="00014859">
              <w:rPr>
                <w:b/>
                <w:sz w:val="20"/>
                <w:szCs w:val="20"/>
              </w:rPr>
              <w:t>ΣΥΝΟΛΟ</w:t>
            </w:r>
          </w:p>
        </w:tc>
        <w:tc>
          <w:tcPr>
            <w:tcW w:w="1559" w:type="dxa"/>
            <w:vAlign w:val="center"/>
          </w:tcPr>
          <w:p w:rsidR="00C206FE" w:rsidRPr="00070319" w:rsidRDefault="00C206FE" w:rsidP="004D1E8D">
            <w:pPr>
              <w:jc w:val="center"/>
              <w:rPr>
                <w:b/>
                <w:sz w:val="20"/>
                <w:szCs w:val="20"/>
              </w:rPr>
            </w:pPr>
            <w:r w:rsidRPr="00272DAC">
              <w:rPr>
                <w:b/>
                <w:sz w:val="20"/>
                <w:szCs w:val="20"/>
              </w:rPr>
              <w:t>CEF</w:t>
            </w:r>
          </w:p>
        </w:tc>
        <w:tc>
          <w:tcPr>
            <w:tcW w:w="1276" w:type="dxa"/>
            <w:vAlign w:val="center"/>
          </w:tcPr>
          <w:p w:rsidR="00C206FE" w:rsidRPr="00014859" w:rsidRDefault="00C206FE" w:rsidP="004D1E8D">
            <w:pPr>
              <w:jc w:val="center"/>
              <w:rPr>
                <w:b/>
                <w:sz w:val="20"/>
                <w:szCs w:val="20"/>
              </w:rPr>
            </w:pPr>
            <w:r w:rsidRPr="00014859">
              <w:rPr>
                <w:b/>
                <w:sz w:val="20"/>
                <w:szCs w:val="20"/>
              </w:rPr>
              <w:t>ΠΔΕ</w:t>
            </w:r>
          </w:p>
        </w:tc>
        <w:tc>
          <w:tcPr>
            <w:tcW w:w="1134" w:type="dxa"/>
            <w:vAlign w:val="center"/>
          </w:tcPr>
          <w:p w:rsidR="00C206FE" w:rsidRPr="005D598E" w:rsidRDefault="00C206FE" w:rsidP="005F0EA2">
            <w:pPr>
              <w:jc w:val="center"/>
              <w:rPr>
                <w:b/>
                <w:sz w:val="20"/>
                <w:szCs w:val="20"/>
              </w:rPr>
            </w:pPr>
            <w:r>
              <w:rPr>
                <w:b/>
                <w:sz w:val="20"/>
                <w:szCs w:val="20"/>
              </w:rPr>
              <w:t>ΙΔΙΟΙ ΠΟΡΟΙ</w:t>
            </w:r>
          </w:p>
        </w:tc>
        <w:tc>
          <w:tcPr>
            <w:tcW w:w="850" w:type="dxa"/>
            <w:vAlign w:val="center"/>
          </w:tcPr>
          <w:p w:rsidR="00C206FE" w:rsidRPr="00014859" w:rsidRDefault="00C206FE" w:rsidP="004D1E8D">
            <w:pPr>
              <w:jc w:val="center"/>
              <w:rPr>
                <w:b/>
                <w:sz w:val="20"/>
                <w:szCs w:val="20"/>
              </w:rPr>
            </w:pPr>
            <w:r w:rsidRPr="00014859">
              <w:rPr>
                <w:b/>
                <w:sz w:val="20"/>
                <w:szCs w:val="20"/>
              </w:rPr>
              <w:t>%</w:t>
            </w:r>
          </w:p>
        </w:tc>
        <w:tc>
          <w:tcPr>
            <w:tcW w:w="7797" w:type="dxa"/>
            <w:vMerge/>
            <w:vAlign w:val="center"/>
          </w:tcPr>
          <w:p w:rsidR="00C206FE" w:rsidRPr="00014859" w:rsidRDefault="00C206FE" w:rsidP="008F3AEC">
            <w:pPr>
              <w:jc w:val="center"/>
              <w:rPr>
                <w:b/>
                <w:sz w:val="20"/>
                <w:szCs w:val="20"/>
              </w:rPr>
            </w:pPr>
          </w:p>
        </w:tc>
      </w:tr>
      <w:tr w:rsidR="00C206FE" w:rsidRPr="009E6F5C" w:rsidTr="009E6F5C">
        <w:trPr>
          <w:trHeight w:val="20"/>
        </w:trPr>
        <w:tc>
          <w:tcPr>
            <w:tcW w:w="567" w:type="dxa"/>
            <w:vAlign w:val="center"/>
          </w:tcPr>
          <w:p w:rsidR="00C206FE" w:rsidRPr="00CB469A" w:rsidRDefault="00E84113" w:rsidP="00DB44C4">
            <w:pPr>
              <w:rPr>
                <w:sz w:val="20"/>
                <w:szCs w:val="20"/>
              </w:rPr>
            </w:pPr>
            <w:r w:rsidRPr="00CB469A">
              <w:rPr>
                <w:sz w:val="20"/>
                <w:szCs w:val="20"/>
              </w:rPr>
              <w:t>1</w:t>
            </w:r>
          </w:p>
        </w:tc>
        <w:tc>
          <w:tcPr>
            <w:tcW w:w="2978" w:type="dxa"/>
            <w:vAlign w:val="center"/>
          </w:tcPr>
          <w:p w:rsidR="00C206FE" w:rsidRPr="00312977" w:rsidRDefault="00C206FE" w:rsidP="00DB44C4">
            <w:pPr>
              <w:rPr>
                <w:sz w:val="16"/>
                <w:szCs w:val="16"/>
              </w:rPr>
            </w:pPr>
            <w:r w:rsidRPr="00312977">
              <w:rPr>
                <w:sz w:val="16"/>
                <w:szCs w:val="16"/>
              </w:rPr>
              <w:t xml:space="preserve">Κατασκευή τετραπλού σιδηροδρομικού διαδρόμου στο τμήμα Έξοδος ΣΣ. Αθηνών  – Τρεις Γέφυρες, με </w:t>
            </w:r>
            <w:proofErr w:type="spellStart"/>
            <w:r w:rsidRPr="00312977">
              <w:rPr>
                <w:sz w:val="16"/>
                <w:szCs w:val="16"/>
              </w:rPr>
              <w:t>υπογειοποίηση</w:t>
            </w:r>
            <w:proofErr w:type="spellEnd"/>
            <w:r w:rsidRPr="00312977">
              <w:rPr>
                <w:sz w:val="16"/>
                <w:szCs w:val="16"/>
              </w:rPr>
              <w:t xml:space="preserve"> </w:t>
            </w:r>
            <w:r w:rsidR="00E84113" w:rsidRPr="00312977">
              <w:rPr>
                <w:sz w:val="16"/>
                <w:szCs w:val="16"/>
              </w:rPr>
              <w:t xml:space="preserve"> </w:t>
            </w:r>
            <w:r w:rsidRPr="00312977">
              <w:rPr>
                <w:sz w:val="16"/>
                <w:szCs w:val="16"/>
              </w:rPr>
              <w:t>στην περιοχή Σεπολίων</w:t>
            </w:r>
          </w:p>
        </w:tc>
        <w:tc>
          <w:tcPr>
            <w:tcW w:w="1701" w:type="dxa"/>
            <w:vAlign w:val="center"/>
          </w:tcPr>
          <w:p w:rsidR="00C206FE" w:rsidRPr="00312977" w:rsidRDefault="00C206FE" w:rsidP="00DB44C4">
            <w:pPr>
              <w:ind w:left="-108" w:right="-108"/>
              <w:rPr>
                <w:sz w:val="16"/>
                <w:szCs w:val="16"/>
              </w:rPr>
            </w:pPr>
            <w:r w:rsidRPr="00312977">
              <w:rPr>
                <w:sz w:val="16"/>
                <w:szCs w:val="16"/>
              </w:rPr>
              <w:t>2016-EL-TMC-0288-W</w:t>
            </w:r>
          </w:p>
        </w:tc>
        <w:tc>
          <w:tcPr>
            <w:tcW w:w="1275" w:type="dxa"/>
            <w:vAlign w:val="center"/>
          </w:tcPr>
          <w:p w:rsidR="00C206FE" w:rsidRPr="00312977" w:rsidRDefault="00C206FE" w:rsidP="00625E19">
            <w:pPr>
              <w:autoSpaceDE w:val="0"/>
              <w:autoSpaceDN w:val="0"/>
              <w:adjustRightInd w:val="0"/>
              <w:ind w:right="34"/>
              <w:rPr>
                <w:sz w:val="16"/>
                <w:szCs w:val="16"/>
                <w:lang w:val="en-US"/>
              </w:rPr>
            </w:pPr>
            <w:r w:rsidRPr="00312977">
              <w:rPr>
                <w:sz w:val="16"/>
                <w:szCs w:val="16"/>
                <w:lang w:val="en-US"/>
              </w:rPr>
              <w:t>ΕΡΓΟΣΕ ΑΕ</w:t>
            </w:r>
          </w:p>
        </w:tc>
        <w:tc>
          <w:tcPr>
            <w:tcW w:w="1134" w:type="dxa"/>
            <w:vAlign w:val="center"/>
          </w:tcPr>
          <w:p w:rsidR="00C206FE" w:rsidRPr="00312977" w:rsidRDefault="00272DAC" w:rsidP="00625E19">
            <w:pPr>
              <w:ind w:left="33" w:right="33"/>
              <w:jc w:val="center"/>
              <w:rPr>
                <w:sz w:val="16"/>
                <w:szCs w:val="16"/>
                <w:lang w:val="en-US"/>
              </w:rPr>
            </w:pPr>
            <w:r w:rsidRPr="00312977">
              <w:rPr>
                <w:sz w:val="16"/>
                <w:szCs w:val="16"/>
                <w:lang w:val="en-US"/>
              </w:rPr>
              <w:t>MAP</w:t>
            </w:r>
            <w:r w:rsidR="00625E19" w:rsidRPr="00312977">
              <w:rPr>
                <w:sz w:val="16"/>
                <w:szCs w:val="16"/>
                <w:lang w:val="en-US"/>
              </w:rPr>
              <w:t xml:space="preserve"> </w:t>
            </w:r>
            <w:r w:rsidRPr="00312977">
              <w:rPr>
                <w:sz w:val="16"/>
                <w:szCs w:val="16"/>
                <w:lang w:val="en-US"/>
              </w:rPr>
              <w:t>-</w:t>
            </w:r>
            <w:r w:rsidR="00625E19" w:rsidRPr="00312977">
              <w:rPr>
                <w:sz w:val="16"/>
                <w:szCs w:val="16"/>
                <w:lang w:val="en-US"/>
              </w:rPr>
              <w:t xml:space="preserve"> </w:t>
            </w:r>
            <w:r w:rsidRPr="00312977">
              <w:rPr>
                <w:sz w:val="16"/>
                <w:szCs w:val="16"/>
                <w:lang w:val="en-US"/>
              </w:rPr>
              <w:t>Cohesion</w:t>
            </w:r>
          </w:p>
        </w:tc>
        <w:tc>
          <w:tcPr>
            <w:tcW w:w="1418" w:type="dxa"/>
            <w:vAlign w:val="center"/>
          </w:tcPr>
          <w:p w:rsidR="00C206FE" w:rsidRPr="00312977" w:rsidRDefault="00312977" w:rsidP="00E66BA0">
            <w:pPr>
              <w:jc w:val="center"/>
              <w:rPr>
                <w:sz w:val="16"/>
                <w:szCs w:val="16"/>
                <w:lang w:val="en-US"/>
              </w:rPr>
            </w:pPr>
            <w:r>
              <w:rPr>
                <w:sz w:val="16"/>
                <w:szCs w:val="16"/>
                <w:lang w:val="en-US"/>
              </w:rPr>
              <w:t>56.278.931</w:t>
            </w:r>
          </w:p>
        </w:tc>
        <w:tc>
          <w:tcPr>
            <w:tcW w:w="1559" w:type="dxa"/>
            <w:vAlign w:val="center"/>
          </w:tcPr>
          <w:p w:rsidR="00C206FE" w:rsidRPr="00312977" w:rsidRDefault="00312977" w:rsidP="00E66BA0">
            <w:pPr>
              <w:jc w:val="center"/>
              <w:rPr>
                <w:sz w:val="16"/>
                <w:szCs w:val="16"/>
                <w:lang w:val="en-US"/>
              </w:rPr>
            </w:pPr>
            <w:r>
              <w:rPr>
                <w:sz w:val="16"/>
                <w:szCs w:val="16"/>
                <w:lang w:val="en-US"/>
              </w:rPr>
              <w:t>40.363.249</w:t>
            </w:r>
          </w:p>
        </w:tc>
        <w:tc>
          <w:tcPr>
            <w:tcW w:w="1276" w:type="dxa"/>
            <w:vAlign w:val="center"/>
          </w:tcPr>
          <w:p w:rsidR="00C206FE" w:rsidRPr="00312977" w:rsidRDefault="00312977" w:rsidP="00E66BA0">
            <w:pPr>
              <w:jc w:val="center"/>
              <w:rPr>
                <w:sz w:val="16"/>
                <w:szCs w:val="16"/>
                <w:lang w:val="en-US"/>
              </w:rPr>
            </w:pPr>
            <w:r>
              <w:rPr>
                <w:sz w:val="16"/>
                <w:szCs w:val="16"/>
                <w:lang w:val="en-US"/>
              </w:rPr>
              <w:t>15.915.682</w:t>
            </w:r>
          </w:p>
        </w:tc>
        <w:tc>
          <w:tcPr>
            <w:tcW w:w="1134" w:type="dxa"/>
            <w:vAlign w:val="center"/>
          </w:tcPr>
          <w:p w:rsidR="00C206FE" w:rsidRPr="00312977" w:rsidRDefault="00C206FE" w:rsidP="00E66BA0">
            <w:pPr>
              <w:jc w:val="center"/>
              <w:rPr>
                <w:sz w:val="16"/>
                <w:szCs w:val="16"/>
              </w:rPr>
            </w:pPr>
          </w:p>
        </w:tc>
        <w:tc>
          <w:tcPr>
            <w:tcW w:w="850" w:type="dxa"/>
            <w:vAlign w:val="center"/>
          </w:tcPr>
          <w:p w:rsidR="00C206FE" w:rsidRPr="00312977" w:rsidRDefault="00C206FE" w:rsidP="00625E19">
            <w:pPr>
              <w:ind w:right="-108" w:hanging="108"/>
              <w:jc w:val="center"/>
              <w:rPr>
                <w:sz w:val="16"/>
                <w:szCs w:val="16"/>
              </w:rPr>
            </w:pPr>
            <w:r w:rsidRPr="00312977">
              <w:rPr>
                <w:sz w:val="16"/>
                <w:szCs w:val="16"/>
              </w:rPr>
              <w:t>71,7</w:t>
            </w:r>
            <w:r w:rsidRPr="00312977">
              <w:rPr>
                <w:sz w:val="16"/>
                <w:szCs w:val="16"/>
                <w:lang w:val="en-US"/>
              </w:rPr>
              <w:t>2</w:t>
            </w:r>
          </w:p>
        </w:tc>
        <w:tc>
          <w:tcPr>
            <w:tcW w:w="7797" w:type="dxa"/>
            <w:vAlign w:val="center"/>
          </w:tcPr>
          <w:p w:rsidR="00C206FE" w:rsidRPr="009E6F5C" w:rsidRDefault="009E6F5C" w:rsidP="000A314F">
            <w:pPr>
              <w:rPr>
                <w:sz w:val="16"/>
                <w:szCs w:val="16"/>
              </w:rPr>
            </w:pPr>
            <w:r w:rsidRPr="009E6F5C">
              <w:rPr>
                <w:sz w:val="16"/>
                <w:szCs w:val="16"/>
              </w:rPr>
              <w:t>Το έργο αφορά στην κατασκευή τετραπλής σιδηροδρομικής γραμμής, μήκους 2,36χλμ, από τα οποία τα 1,91χλμ θα είναι υπόγεια. Το έργο ξεκινά από την έξοδο του Σ.Σ. Αθηνών (</w:t>
            </w:r>
            <w:proofErr w:type="spellStart"/>
            <w:r w:rsidRPr="009E6F5C">
              <w:rPr>
                <w:sz w:val="16"/>
                <w:szCs w:val="16"/>
              </w:rPr>
              <w:t>χλμ</w:t>
            </w:r>
            <w:proofErr w:type="spellEnd"/>
            <w:r w:rsidRPr="009E6F5C">
              <w:rPr>
                <w:sz w:val="16"/>
                <w:szCs w:val="16"/>
              </w:rPr>
              <w:t>. 10+821) και καταλήγει στις Τρεις Γέφυρες (</w:t>
            </w:r>
            <w:proofErr w:type="spellStart"/>
            <w:r w:rsidRPr="009E6F5C">
              <w:rPr>
                <w:sz w:val="16"/>
                <w:szCs w:val="16"/>
              </w:rPr>
              <w:t>χλμ</w:t>
            </w:r>
            <w:proofErr w:type="spellEnd"/>
            <w:r w:rsidRPr="009E6F5C">
              <w:rPr>
                <w:sz w:val="16"/>
                <w:szCs w:val="16"/>
              </w:rPr>
              <w:t>. 13+181), όπου συνδέεται με ήδη ολοκληρωμένη τετραπλή γραμμή, η οποία βρίσκεται σε χρήση και τελειώνει στο ΣΚΑ.</w:t>
            </w:r>
          </w:p>
        </w:tc>
      </w:tr>
      <w:tr w:rsidR="00C206FE" w:rsidRPr="004979A8" w:rsidTr="009E6F5C">
        <w:trPr>
          <w:trHeight w:val="20"/>
        </w:trPr>
        <w:tc>
          <w:tcPr>
            <w:tcW w:w="567" w:type="dxa"/>
            <w:vAlign w:val="center"/>
          </w:tcPr>
          <w:p w:rsidR="00C206FE" w:rsidRPr="00CB469A" w:rsidRDefault="00E84113" w:rsidP="00DB44C4">
            <w:pPr>
              <w:rPr>
                <w:sz w:val="20"/>
                <w:szCs w:val="20"/>
              </w:rPr>
            </w:pPr>
            <w:r w:rsidRPr="00CB469A">
              <w:rPr>
                <w:sz w:val="20"/>
                <w:szCs w:val="20"/>
              </w:rPr>
              <w:t>2</w:t>
            </w:r>
          </w:p>
        </w:tc>
        <w:tc>
          <w:tcPr>
            <w:tcW w:w="2978" w:type="dxa"/>
            <w:vAlign w:val="center"/>
          </w:tcPr>
          <w:p w:rsidR="00C206FE" w:rsidRPr="00312977" w:rsidRDefault="00C206FE" w:rsidP="00DB44C4">
            <w:pPr>
              <w:rPr>
                <w:sz w:val="16"/>
                <w:szCs w:val="16"/>
              </w:rPr>
            </w:pPr>
            <w:r w:rsidRPr="00312977">
              <w:rPr>
                <w:sz w:val="16"/>
                <w:szCs w:val="16"/>
              </w:rPr>
              <w:t>Ολοκλήρωση αναβάθμισης και ηλεκτροκίνησης του τμήματος Π</w:t>
            </w:r>
            <w:r w:rsidR="0014634F" w:rsidRPr="00312977">
              <w:rPr>
                <w:sz w:val="16"/>
                <w:szCs w:val="16"/>
              </w:rPr>
              <w:t>ολύκαστρο -</w:t>
            </w:r>
            <w:r w:rsidRPr="00312977">
              <w:rPr>
                <w:sz w:val="16"/>
                <w:szCs w:val="16"/>
              </w:rPr>
              <w:t xml:space="preserve"> Ε</w:t>
            </w:r>
            <w:r w:rsidR="0014634F" w:rsidRPr="00312977">
              <w:rPr>
                <w:sz w:val="16"/>
                <w:szCs w:val="16"/>
              </w:rPr>
              <w:t>ιδομένη</w:t>
            </w:r>
            <w:r w:rsidRPr="00312977">
              <w:rPr>
                <w:sz w:val="16"/>
                <w:szCs w:val="16"/>
              </w:rPr>
              <w:t xml:space="preserve"> του σιδηροδρομικού άξονα Θ</w:t>
            </w:r>
            <w:r w:rsidR="0014634F" w:rsidRPr="00312977">
              <w:rPr>
                <w:sz w:val="16"/>
                <w:szCs w:val="16"/>
              </w:rPr>
              <w:t>εσσαλονίκη - Ειδομένη</w:t>
            </w:r>
          </w:p>
        </w:tc>
        <w:tc>
          <w:tcPr>
            <w:tcW w:w="1701" w:type="dxa"/>
            <w:vAlign w:val="center"/>
          </w:tcPr>
          <w:p w:rsidR="00C206FE" w:rsidRPr="00312977" w:rsidRDefault="00C206FE" w:rsidP="00DB44C4">
            <w:pPr>
              <w:ind w:left="-108" w:right="-108"/>
              <w:rPr>
                <w:sz w:val="16"/>
                <w:szCs w:val="16"/>
              </w:rPr>
            </w:pPr>
            <w:r w:rsidRPr="00312977">
              <w:rPr>
                <w:sz w:val="16"/>
                <w:szCs w:val="16"/>
              </w:rPr>
              <w:t>2016-EL-T</w:t>
            </w:r>
            <w:r w:rsidRPr="00312977">
              <w:rPr>
                <w:sz w:val="16"/>
                <w:szCs w:val="16"/>
                <w:lang w:val="en-US"/>
              </w:rPr>
              <w:t>AC</w:t>
            </w:r>
            <w:r w:rsidRPr="00312977">
              <w:rPr>
                <w:sz w:val="16"/>
                <w:szCs w:val="16"/>
              </w:rPr>
              <w:t>-028</w:t>
            </w:r>
            <w:r w:rsidRPr="00312977">
              <w:rPr>
                <w:sz w:val="16"/>
                <w:szCs w:val="16"/>
                <w:lang w:val="en-US"/>
              </w:rPr>
              <w:t>3</w:t>
            </w:r>
            <w:r w:rsidRPr="00312977">
              <w:rPr>
                <w:sz w:val="16"/>
                <w:szCs w:val="16"/>
              </w:rPr>
              <w:t>-W</w:t>
            </w:r>
          </w:p>
        </w:tc>
        <w:tc>
          <w:tcPr>
            <w:tcW w:w="1275" w:type="dxa"/>
            <w:vAlign w:val="center"/>
          </w:tcPr>
          <w:p w:rsidR="00C206FE" w:rsidRPr="00312977" w:rsidRDefault="00C206FE" w:rsidP="00625E19">
            <w:pPr>
              <w:autoSpaceDE w:val="0"/>
              <w:autoSpaceDN w:val="0"/>
              <w:adjustRightInd w:val="0"/>
              <w:ind w:right="34"/>
              <w:rPr>
                <w:sz w:val="16"/>
                <w:szCs w:val="16"/>
                <w:lang w:val="en-US"/>
              </w:rPr>
            </w:pPr>
            <w:r w:rsidRPr="00312977">
              <w:rPr>
                <w:sz w:val="16"/>
                <w:szCs w:val="16"/>
                <w:lang w:val="en-US"/>
              </w:rPr>
              <w:t>ΕΡΓΟΣΕ ΑΕ</w:t>
            </w:r>
          </w:p>
        </w:tc>
        <w:tc>
          <w:tcPr>
            <w:tcW w:w="1134" w:type="dxa"/>
            <w:vAlign w:val="center"/>
          </w:tcPr>
          <w:p w:rsidR="00C206FE" w:rsidRPr="00312977" w:rsidRDefault="00272DAC" w:rsidP="00625E19">
            <w:pPr>
              <w:ind w:left="33" w:right="33"/>
              <w:jc w:val="center"/>
              <w:rPr>
                <w:sz w:val="16"/>
                <w:szCs w:val="16"/>
                <w:lang w:val="en-US"/>
              </w:rPr>
            </w:pPr>
            <w:r w:rsidRPr="00312977">
              <w:rPr>
                <w:sz w:val="16"/>
                <w:szCs w:val="16"/>
                <w:lang w:val="en-US"/>
              </w:rPr>
              <w:t>AP - Cohesion</w:t>
            </w:r>
          </w:p>
        </w:tc>
        <w:tc>
          <w:tcPr>
            <w:tcW w:w="1418" w:type="dxa"/>
            <w:vAlign w:val="center"/>
          </w:tcPr>
          <w:p w:rsidR="00C206FE" w:rsidRPr="00312977" w:rsidRDefault="00C206FE" w:rsidP="00E66BA0">
            <w:pPr>
              <w:jc w:val="center"/>
              <w:rPr>
                <w:sz w:val="16"/>
                <w:szCs w:val="16"/>
              </w:rPr>
            </w:pPr>
            <w:r w:rsidRPr="00312977">
              <w:rPr>
                <w:sz w:val="16"/>
                <w:szCs w:val="16"/>
                <w:lang w:val="en-US"/>
              </w:rPr>
              <w:t>9.171.321</w:t>
            </w:r>
          </w:p>
        </w:tc>
        <w:tc>
          <w:tcPr>
            <w:tcW w:w="1559" w:type="dxa"/>
            <w:vAlign w:val="center"/>
          </w:tcPr>
          <w:p w:rsidR="00C206FE" w:rsidRPr="00312977" w:rsidRDefault="00C206FE" w:rsidP="00E66BA0">
            <w:pPr>
              <w:jc w:val="center"/>
              <w:rPr>
                <w:sz w:val="16"/>
                <w:szCs w:val="16"/>
              </w:rPr>
            </w:pPr>
            <w:r w:rsidRPr="00312977">
              <w:rPr>
                <w:sz w:val="16"/>
                <w:szCs w:val="16"/>
                <w:lang w:val="en-US"/>
              </w:rPr>
              <w:t>7.093.100</w:t>
            </w:r>
          </w:p>
        </w:tc>
        <w:tc>
          <w:tcPr>
            <w:tcW w:w="1276" w:type="dxa"/>
            <w:vAlign w:val="center"/>
          </w:tcPr>
          <w:p w:rsidR="00C206FE" w:rsidRPr="00312977" w:rsidRDefault="00C206FE" w:rsidP="00E66BA0">
            <w:pPr>
              <w:jc w:val="center"/>
              <w:rPr>
                <w:sz w:val="16"/>
                <w:szCs w:val="16"/>
              </w:rPr>
            </w:pPr>
            <w:r w:rsidRPr="00312977">
              <w:rPr>
                <w:sz w:val="16"/>
                <w:szCs w:val="16"/>
                <w:lang w:val="en-US"/>
              </w:rPr>
              <w:t>2.078.221</w:t>
            </w:r>
          </w:p>
        </w:tc>
        <w:tc>
          <w:tcPr>
            <w:tcW w:w="1134" w:type="dxa"/>
            <w:vAlign w:val="center"/>
          </w:tcPr>
          <w:p w:rsidR="00C206FE" w:rsidRPr="00312977" w:rsidRDefault="00C206FE" w:rsidP="00E66BA0">
            <w:pPr>
              <w:jc w:val="center"/>
              <w:rPr>
                <w:sz w:val="16"/>
                <w:szCs w:val="16"/>
              </w:rPr>
            </w:pPr>
          </w:p>
        </w:tc>
        <w:tc>
          <w:tcPr>
            <w:tcW w:w="850" w:type="dxa"/>
            <w:vAlign w:val="center"/>
          </w:tcPr>
          <w:p w:rsidR="00C206FE" w:rsidRPr="00312977" w:rsidRDefault="00312977" w:rsidP="00625E19">
            <w:pPr>
              <w:ind w:right="-108" w:hanging="108"/>
              <w:jc w:val="center"/>
              <w:rPr>
                <w:sz w:val="16"/>
                <w:szCs w:val="16"/>
                <w:lang w:val="en-US"/>
              </w:rPr>
            </w:pPr>
            <w:r>
              <w:rPr>
                <w:sz w:val="16"/>
                <w:szCs w:val="16"/>
                <w:lang w:val="en-US"/>
              </w:rPr>
              <w:t>77,34</w:t>
            </w:r>
          </w:p>
        </w:tc>
        <w:tc>
          <w:tcPr>
            <w:tcW w:w="7797" w:type="dxa"/>
            <w:vAlign w:val="center"/>
          </w:tcPr>
          <w:p w:rsidR="00C206FE" w:rsidRPr="000A314F" w:rsidRDefault="009E6F5C" w:rsidP="009E6F5C">
            <w:pPr>
              <w:ind w:right="-108"/>
              <w:rPr>
                <w:sz w:val="16"/>
                <w:szCs w:val="16"/>
              </w:rPr>
            </w:pPr>
            <w:r w:rsidRPr="000A314F">
              <w:rPr>
                <w:sz w:val="16"/>
                <w:szCs w:val="16"/>
              </w:rPr>
              <w:t xml:space="preserve">Το έργο αφορά την ολοκλήρωση της αναβάθμισης και ηλεκτροκίνησης της σιδηροδρομικής γραμμής Θεσσαλονίκη - Ειδομένη στο τμήμα Πολύκαστρο - Ειδομένη. Ειδικότερα η προτεινόμενη δράση περιλαμβάνει όλες τις υπολειπόμενες εργασίες επιδομής και τις εργασίες ηλεκτροκίνησης για την παραλλαγή της χάραξης, την κατασκευή / αναβάθμιση των σιδηροδρομικών σταθμών / στάσεων και τις απαραίτητες </w:t>
            </w:r>
            <w:proofErr w:type="spellStart"/>
            <w:r w:rsidRPr="000A314F">
              <w:rPr>
                <w:sz w:val="16"/>
                <w:szCs w:val="16"/>
              </w:rPr>
              <w:t>φυτοτεχνικές</w:t>
            </w:r>
            <w:proofErr w:type="spellEnd"/>
            <w:r w:rsidRPr="000A314F">
              <w:rPr>
                <w:sz w:val="16"/>
                <w:szCs w:val="16"/>
              </w:rPr>
              <w:t xml:space="preserve"> εργασίες σταθεροποίησης και περιβαλλοντικής αποκατάστασης των πρανών. Οι κύριες εργασίες κατασκευής είναι σε εξέλιξη, μέσα από δύο συμβάσεις που έχουν ήδη υπογραφεί, και η προτεινόμενη δράση, συμπεριλαμβανομένων των αποκαταστάσεων και των </w:t>
            </w:r>
            <w:proofErr w:type="spellStart"/>
            <w:r w:rsidRPr="000A314F">
              <w:rPr>
                <w:sz w:val="16"/>
                <w:szCs w:val="16"/>
              </w:rPr>
              <w:t>φυτοτεχνικών</w:t>
            </w:r>
            <w:proofErr w:type="spellEnd"/>
            <w:r w:rsidRPr="000A314F">
              <w:rPr>
                <w:sz w:val="16"/>
                <w:szCs w:val="16"/>
              </w:rPr>
              <w:t xml:space="preserve"> εργασιών κατά μήκος της αναβαθμισμένης γραμμής, θα έχει ολοκληρωθεί έως τον Νοέμβρη του 2020.</w:t>
            </w:r>
          </w:p>
        </w:tc>
      </w:tr>
      <w:tr w:rsidR="00C206FE" w:rsidRPr="00603309" w:rsidTr="009E6F5C">
        <w:trPr>
          <w:trHeight w:val="20"/>
        </w:trPr>
        <w:tc>
          <w:tcPr>
            <w:tcW w:w="567" w:type="dxa"/>
            <w:vAlign w:val="center"/>
          </w:tcPr>
          <w:p w:rsidR="00C206FE" w:rsidRPr="00CB469A" w:rsidRDefault="00E84113" w:rsidP="00DB44C4">
            <w:pPr>
              <w:rPr>
                <w:sz w:val="20"/>
                <w:szCs w:val="20"/>
              </w:rPr>
            </w:pPr>
            <w:r w:rsidRPr="00CB469A">
              <w:rPr>
                <w:sz w:val="20"/>
                <w:szCs w:val="20"/>
              </w:rPr>
              <w:t>3</w:t>
            </w:r>
          </w:p>
        </w:tc>
        <w:tc>
          <w:tcPr>
            <w:tcW w:w="2978" w:type="dxa"/>
            <w:vAlign w:val="center"/>
          </w:tcPr>
          <w:p w:rsidR="00C206FE" w:rsidRPr="00312977" w:rsidRDefault="00C206FE" w:rsidP="00DB44C4">
            <w:pPr>
              <w:rPr>
                <w:sz w:val="16"/>
                <w:szCs w:val="16"/>
                <w:lang w:val="en-US"/>
              </w:rPr>
            </w:pPr>
            <w:r w:rsidRPr="00312977">
              <w:rPr>
                <w:sz w:val="16"/>
                <w:szCs w:val="16"/>
                <w:lang w:val="en-US"/>
              </w:rPr>
              <w:t>TAF/TAP-TSI implementation in Greece: Design and development of scalable TAF/TAP-TSI systems</w:t>
            </w:r>
          </w:p>
        </w:tc>
        <w:tc>
          <w:tcPr>
            <w:tcW w:w="1701" w:type="dxa"/>
            <w:vAlign w:val="center"/>
          </w:tcPr>
          <w:p w:rsidR="00C206FE" w:rsidRPr="00312977" w:rsidRDefault="00C206FE" w:rsidP="00DB44C4">
            <w:pPr>
              <w:ind w:left="-108" w:right="-108"/>
              <w:rPr>
                <w:sz w:val="16"/>
                <w:szCs w:val="16"/>
              </w:rPr>
            </w:pPr>
            <w:r w:rsidRPr="00312977">
              <w:rPr>
                <w:sz w:val="16"/>
                <w:szCs w:val="16"/>
                <w:lang w:val="en-US"/>
              </w:rPr>
              <w:t>2016-EL-TMC-0232-M</w:t>
            </w:r>
          </w:p>
        </w:tc>
        <w:tc>
          <w:tcPr>
            <w:tcW w:w="1275" w:type="dxa"/>
            <w:vAlign w:val="center"/>
          </w:tcPr>
          <w:p w:rsidR="00C206FE" w:rsidRPr="00312977" w:rsidRDefault="00C206FE" w:rsidP="00625E19">
            <w:pPr>
              <w:autoSpaceDE w:val="0"/>
              <w:autoSpaceDN w:val="0"/>
              <w:adjustRightInd w:val="0"/>
              <w:ind w:right="34"/>
              <w:rPr>
                <w:sz w:val="16"/>
                <w:szCs w:val="16"/>
                <w:lang w:val="en-US"/>
              </w:rPr>
            </w:pPr>
            <w:r w:rsidRPr="00312977">
              <w:rPr>
                <w:sz w:val="16"/>
                <w:szCs w:val="16"/>
                <w:lang w:val="en-US"/>
              </w:rPr>
              <w:t>ΟΣΕ ΑΕ</w:t>
            </w:r>
          </w:p>
        </w:tc>
        <w:tc>
          <w:tcPr>
            <w:tcW w:w="1134" w:type="dxa"/>
            <w:vAlign w:val="center"/>
          </w:tcPr>
          <w:p w:rsidR="00C206FE" w:rsidRPr="00312977" w:rsidRDefault="00272DAC" w:rsidP="00625E19">
            <w:pPr>
              <w:ind w:left="33" w:right="33"/>
              <w:jc w:val="center"/>
              <w:rPr>
                <w:sz w:val="16"/>
                <w:szCs w:val="16"/>
                <w:lang w:val="en-US"/>
              </w:rPr>
            </w:pPr>
            <w:r w:rsidRPr="00312977">
              <w:rPr>
                <w:sz w:val="16"/>
                <w:szCs w:val="16"/>
                <w:lang w:val="en-US"/>
              </w:rPr>
              <w:t>MAP - Cohesion</w:t>
            </w:r>
          </w:p>
        </w:tc>
        <w:tc>
          <w:tcPr>
            <w:tcW w:w="1418" w:type="dxa"/>
            <w:vAlign w:val="center"/>
          </w:tcPr>
          <w:p w:rsidR="00C206FE" w:rsidRPr="00312977" w:rsidRDefault="00312977" w:rsidP="00E66BA0">
            <w:pPr>
              <w:jc w:val="center"/>
              <w:rPr>
                <w:sz w:val="16"/>
                <w:szCs w:val="16"/>
                <w:lang w:val="en-US"/>
              </w:rPr>
            </w:pPr>
            <w:r>
              <w:rPr>
                <w:sz w:val="16"/>
                <w:szCs w:val="16"/>
                <w:lang w:val="en-US"/>
              </w:rPr>
              <w:t>3.526.120</w:t>
            </w:r>
          </w:p>
        </w:tc>
        <w:tc>
          <w:tcPr>
            <w:tcW w:w="1559" w:type="dxa"/>
            <w:vAlign w:val="center"/>
          </w:tcPr>
          <w:p w:rsidR="00C206FE" w:rsidRPr="00312977" w:rsidRDefault="00312977" w:rsidP="00E66BA0">
            <w:pPr>
              <w:jc w:val="center"/>
              <w:rPr>
                <w:sz w:val="16"/>
                <w:szCs w:val="16"/>
                <w:lang w:val="en-US"/>
              </w:rPr>
            </w:pPr>
            <w:r>
              <w:rPr>
                <w:sz w:val="16"/>
                <w:szCs w:val="16"/>
                <w:lang w:val="en-US"/>
              </w:rPr>
              <w:t>2.997.202</w:t>
            </w:r>
          </w:p>
        </w:tc>
        <w:tc>
          <w:tcPr>
            <w:tcW w:w="1276" w:type="dxa"/>
            <w:vAlign w:val="center"/>
          </w:tcPr>
          <w:p w:rsidR="00C206FE" w:rsidRPr="00312977" w:rsidRDefault="00312977" w:rsidP="00E66BA0">
            <w:pPr>
              <w:jc w:val="center"/>
              <w:rPr>
                <w:sz w:val="16"/>
                <w:szCs w:val="16"/>
                <w:lang w:val="en-US"/>
              </w:rPr>
            </w:pPr>
            <w:r>
              <w:rPr>
                <w:sz w:val="16"/>
                <w:szCs w:val="16"/>
                <w:lang w:val="en-US"/>
              </w:rPr>
              <w:t>528.918</w:t>
            </w:r>
          </w:p>
        </w:tc>
        <w:tc>
          <w:tcPr>
            <w:tcW w:w="1134" w:type="dxa"/>
            <w:vAlign w:val="center"/>
          </w:tcPr>
          <w:p w:rsidR="00C206FE" w:rsidRPr="00312977" w:rsidRDefault="00C206FE" w:rsidP="00E66BA0">
            <w:pPr>
              <w:jc w:val="center"/>
              <w:rPr>
                <w:sz w:val="16"/>
                <w:szCs w:val="16"/>
                <w:lang w:val="en-US"/>
              </w:rPr>
            </w:pPr>
          </w:p>
        </w:tc>
        <w:tc>
          <w:tcPr>
            <w:tcW w:w="850" w:type="dxa"/>
            <w:vAlign w:val="center"/>
          </w:tcPr>
          <w:p w:rsidR="00C206FE" w:rsidRPr="00312977" w:rsidRDefault="00C206FE" w:rsidP="00625E19">
            <w:pPr>
              <w:ind w:right="-108"/>
              <w:jc w:val="center"/>
              <w:rPr>
                <w:sz w:val="16"/>
                <w:szCs w:val="16"/>
                <w:lang w:val="en-US"/>
              </w:rPr>
            </w:pPr>
            <w:r w:rsidRPr="00312977">
              <w:rPr>
                <w:sz w:val="16"/>
                <w:szCs w:val="16"/>
              </w:rPr>
              <w:t>85</w:t>
            </w:r>
          </w:p>
        </w:tc>
        <w:tc>
          <w:tcPr>
            <w:tcW w:w="7797" w:type="dxa"/>
            <w:vAlign w:val="center"/>
          </w:tcPr>
          <w:p w:rsidR="00C206FE" w:rsidRPr="00312977" w:rsidRDefault="00D67932" w:rsidP="000A314F">
            <w:pPr>
              <w:rPr>
                <w:sz w:val="16"/>
                <w:szCs w:val="16"/>
              </w:rPr>
            </w:pPr>
            <w:r w:rsidRPr="000A314F">
              <w:rPr>
                <w:sz w:val="16"/>
                <w:szCs w:val="16"/>
              </w:rPr>
              <w:t>Το έργο αναπτύσσει και κατευθύνει την υλοποίηση των ΤΑ</w:t>
            </w:r>
            <w:r w:rsidRPr="00D67932">
              <w:rPr>
                <w:sz w:val="16"/>
                <w:szCs w:val="16"/>
                <w:lang w:val="en-US"/>
              </w:rPr>
              <w:t>F</w:t>
            </w:r>
            <w:r w:rsidRPr="000A314F">
              <w:rPr>
                <w:sz w:val="16"/>
                <w:szCs w:val="16"/>
              </w:rPr>
              <w:t>/</w:t>
            </w:r>
            <w:r w:rsidRPr="00D67932">
              <w:rPr>
                <w:sz w:val="16"/>
                <w:szCs w:val="16"/>
                <w:lang w:val="en-US"/>
              </w:rPr>
              <w:t>TAP</w:t>
            </w:r>
            <w:r w:rsidRPr="000A314F">
              <w:rPr>
                <w:sz w:val="16"/>
                <w:szCs w:val="16"/>
              </w:rPr>
              <w:t>-</w:t>
            </w:r>
            <w:r w:rsidRPr="00D67932">
              <w:rPr>
                <w:sz w:val="16"/>
                <w:szCs w:val="16"/>
                <w:lang w:val="en-US"/>
              </w:rPr>
              <w:t>TSI</w:t>
            </w:r>
            <w:r w:rsidRPr="000A314F">
              <w:rPr>
                <w:sz w:val="16"/>
                <w:szCs w:val="16"/>
              </w:rPr>
              <w:t xml:space="preserve"> προτύπων της ΕΕ, που αφορούν σε τηλεματικές εφαρμογές για εμπορευματικό και επιβατικό σιδηρόδρομο. </w:t>
            </w:r>
          </w:p>
        </w:tc>
      </w:tr>
      <w:tr w:rsidR="00C206FE" w:rsidRPr="009E6F5C" w:rsidTr="009E6F5C">
        <w:trPr>
          <w:trHeight w:val="20"/>
        </w:trPr>
        <w:tc>
          <w:tcPr>
            <w:tcW w:w="567" w:type="dxa"/>
            <w:vAlign w:val="center"/>
          </w:tcPr>
          <w:p w:rsidR="00C206FE" w:rsidRPr="00E66BA0" w:rsidRDefault="00E66BA0" w:rsidP="00DB44C4">
            <w:pPr>
              <w:rPr>
                <w:sz w:val="20"/>
                <w:szCs w:val="20"/>
                <w:lang w:val="en-US"/>
              </w:rPr>
            </w:pPr>
            <w:r>
              <w:rPr>
                <w:sz w:val="20"/>
                <w:szCs w:val="20"/>
                <w:lang w:val="en-US"/>
              </w:rPr>
              <w:t>4</w:t>
            </w:r>
          </w:p>
        </w:tc>
        <w:tc>
          <w:tcPr>
            <w:tcW w:w="2978" w:type="dxa"/>
            <w:vAlign w:val="center"/>
          </w:tcPr>
          <w:p w:rsidR="00C206FE" w:rsidRPr="00312977" w:rsidRDefault="00C206FE" w:rsidP="00DB44C4">
            <w:pPr>
              <w:rPr>
                <w:sz w:val="16"/>
                <w:szCs w:val="16"/>
                <w:lang w:val="en-US"/>
              </w:rPr>
            </w:pPr>
            <w:proofErr w:type="spellStart"/>
            <w:r w:rsidRPr="00312977">
              <w:rPr>
                <w:sz w:val="16"/>
                <w:szCs w:val="16"/>
                <w:lang w:val="en-US"/>
              </w:rPr>
              <w:t>MoS</w:t>
            </w:r>
            <w:proofErr w:type="spellEnd"/>
            <w:r w:rsidRPr="00312977">
              <w:rPr>
                <w:sz w:val="16"/>
                <w:szCs w:val="16"/>
                <w:lang w:val="en-US"/>
              </w:rPr>
              <w:t xml:space="preserve"> Venice–</w:t>
            </w:r>
            <w:proofErr w:type="spellStart"/>
            <w:r w:rsidRPr="00312977">
              <w:rPr>
                <w:sz w:val="16"/>
                <w:szCs w:val="16"/>
                <w:lang w:val="en-US"/>
              </w:rPr>
              <w:t>Patras</w:t>
            </w:r>
            <w:proofErr w:type="spellEnd"/>
            <w:r w:rsidRPr="00312977">
              <w:rPr>
                <w:sz w:val="16"/>
                <w:szCs w:val="16"/>
                <w:lang w:val="en-US"/>
              </w:rPr>
              <w:t xml:space="preserve">: Developing and upgrading of the East-Mediterranean </w:t>
            </w:r>
            <w:proofErr w:type="spellStart"/>
            <w:r w:rsidRPr="00312977">
              <w:rPr>
                <w:sz w:val="16"/>
                <w:szCs w:val="16"/>
                <w:lang w:val="en-US"/>
              </w:rPr>
              <w:t>Mos</w:t>
            </w:r>
            <w:proofErr w:type="spellEnd"/>
            <w:r w:rsidRPr="00312977">
              <w:rPr>
                <w:sz w:val="16"/>
                <w:szCs w:val="16"/>
                <w:lang w:val="en-US"/>
              </w:rPr>
              <w:t xml:space="preserve"> link Italy-Greece</w:t>
            </w:r>
          </w:p>
        </w:tc>
        <w:tc>
          <w:tcPr>
            <w:tcW w:w="1701" w:type="dxa"/>
            <w:vAlign w:val="center"/>
          </w:tcPr>
          <w:p w:rsidR="00C206FE" w:rsidRPr="00312977" w:rsidRDefault="00C8161F" w:rsidP="00DB44C4">
            <w:pPr>
              <w:ind w:left="-108" w:right="-108"/>
              <w:rPr>
                <w:sz w:val="16"/>
                <w:szCs w:val="16"/>
                <w:lang w:val="en-US"/>
              </w:rPr>
            </w:pPr>
            <w:r w:rsidRPr="00312977">
              <w:rPr>
                <w:sz w:val="16"/>
                <w:szCs w:val="16"/>
              </w:rPr>
              <w:t>2016-Ε</w:t>
            </w:r>
            <w:r w:rsidRPr="00312977">
              <w:rPr>
                <w:sz w:val="16"/>
                <w:szCs w:val="16"/>
                <w:lang w:val="en-US"/>
              </w:rPr>
              <w:t>U-TM-0342-M</w:t>
            </w:r>
          </w:p>
        </w:tc>
        <w:tc>
          <w:tcPr>
            <w:tcW w:w="1275" w:type="dxa"/>
            <w:vAlign w:val="center"/>
          </w:tcPr>
          <w:p w:rsidR="00C206FE" w:rsidRPr="00312977" w:rsidRDefault="00C206FE" w:rsidP="00625E19">
            <w:pPr>
              <w:autoSpaceDE w:val="0"/>
              <w:autoSpaceDN w:val="0"/>
              <w:adjustRightInd w:val="0"/>
              <w:ind w:right="34"/>
              <w:rPr>
                <w:sz w:val="16"/>
                <w:szCs w:val="16"/>
                <w:lang w:val="en-US"/>
              </w:rPr>
            </w:pPr>
            <w:r w:rsidRPr="00312977">
              <w:rPr>
                <w:sz w:val="16"/>
                <w:szCs w:val="16"/>
                <w:lang w:val="en-US"/>
              </w:rPr>
              <w:t xml:space="preserve">Ο.Λ. Πατρών ΑΕ </w:t>
            </w:r>
          </w:p>
        </w:tc>
        <w:tc>
          <w:tcPr>
            <w:tcW w:w="1134" w:type="dxa"/>
            <w:vAlign w:val="center"/>
          </w:tcPr>
          <w:p w:rsidR="00DB44C4" w:rsidRPr="00312977" w:rsidRDefault="009F2103" w:rsidP="00625E19">
            <w:pPr>
              <w:ind w:left="33" w:right="33"/>
              <w:jc w:val="center"/>
              <w:rPr>
                <w:sz w:val="16"/>
                <w:szCs w:val="16"/>
                <w:lang w:val="en-US"/>
              </w:rPr>
            </w:pPr>
            <w:r w:rsidRPr="00312977">
              <w:rPr>
                <w:sz w:val="16"/>
                <w:szCs w:val="16"/>
                <w:lang w:val="en-US"/>
              </w:rPr>
              <w:t>MAP, General</w:t>
            </w:r>
            <w:r w:rsidRPr="00312977">
              <w:rPr>
                <w:sz w:val="16"/>
                <w:szCs w:val="16"/>
              </w:rPr>
              <w:t>,</w:t>
            </w:r>
          </w:p>
          <w:p w:rsidR="00C206FE" w:rsidRPr="00312977" w:rsidRDefault="00C206FE" w:rsidP="00625E19">
            <w:pPr>
              <w:ind w:left="33" w:right="33"/>
              <w:jc w:val="center"/>
              <w:rPr>
                <w:sz w:val="16"/>
                <w:szCs w:val="16"/>
                <w:lang w:val="en-US"/>
              </w:rPr>
            </w:pPr>
            <w:proofErr w:type="spellStart"/>
            <w:r w:rsidRPr="00312977">
              <w:rPr>
                <w:sz w:val="16"/>
                <w:szCs w:val="16"/>
                <w:lang w:val="en-US"/>
              </w:rPr>
              <w:t>MoS</w:t>
            </w:r>
            <w:proofErr w:type="spellEnd"/>
          </w:p>
        </w:tc>
        <w:tc>
          <w:tcPr>
            <w:tcW w:w="1418" w:type="dxa"/>
            <w:vAlign w:val="center"/>
          </w:tcPr>
          <w:p w:rsidR="00C206FE" w:rsidRPr="002055A6" w:rsidRDefault="002055A6" w:rsidP="00E66BA0">
            <w:pPr>
              <w:jc w:val="center"/>
              <w:rPr>
                <w:sz w:val="16"/>
                <w:szCs w:val="16"/>
                <w:lang w:val="en-US"/>
              </w:rPr>
            </w:pPr>
            <w:r>
              <w:rPr>
                <w:sz w:val="16"/>
                <w:szCs w:val="16"/>
                <w:lang w:val="en-US"/>
              </w:rPr>
              <w:t>986.790</w:t>
            </w:r>
          </w:p>
        </w:tc>
        <w:tc>
          <w:tcPr>
            <w:tcW w:w="1559" w:type="dxa"/>
            <w:vAlign w:val="center"/>
          </w:tcPr>
          <w:p w:rsidR="00C206FE" w:rsidRPr="002055A6" w:rsidRDefault="002055A6" w:rsidP="00E66BA0">
            <w:pPr>
              <w:jc w:val="center"/>
              <w:rPr>
                <w:sz w:val="16"/>
                <w:szCs w:val="16"/>
                <w:lang w:val="en-US"/>
              </w:rPr>
            </w:pPr>
            <w:r>
              <w:rPr>
                <w:sz w:val="16"/>
                <w:szCs w:val="16"/>
                <w:lang w:val="en-US"/>
              </w:rPr>
              <w:t>278.077</w:t>
            </w:r>
          </w:p>
        </w:tc>
        <w:tc>
          <w:tcPr>
            <w:tcW w:w="1276" w:type="dxa"/>
            <w:vAlign w:val="center"/>
          </w:tcPr>
          <w:p w:rsidR="00C206FE" w:rsidRPr="00312977" w:rsidRDefault="00C206FE" w:rsidP="00E66BA0">
            <w:pPr>
              <w:jc w:val="center"/>
              <w:rPr>
                <w:sz w:val="16"/>
                <w:szCs w:val="16"/>
              </w:rPr>
            </w:pPr>
          </w:p>
        </w:tc>
        <w:tc>
          <w:tcPr>
            <w:tcW w:w="1134" w:type="dxa"/>
            <w:vAlign w:val="center"/>
          </w:tcPr>
          <w:p w:rsidR="00C206FE" w:rsidRPr="002055A6" w:rsidRDefault="002055A6" w:rsidP="00E66BA0">
            <w:pPr>
              <w:jc w:val="center"/>
              <w:rPr>
                <w:sz w:val="16"/>
                <w:szCs w:val="16"/>
                <w:lang w:val="en-US"/>
              </w:rPr>
            </w:pPr>
            <w:r>
              <w:rPr>
                <w:sz w:val="16"/>
                <w:szCs w:val="16"/>
                <w:lang w:val="en-US"/>
              </w:rPr>
              <w:t>708.713</w:t>
            </w:r>
          </w:p>
        </w:tc>
        <w:tc>
          <w:tcPr>
            <w:tcW w:w="850" w:type="dxa"/>
            <w:vAlign w:val="center"/>
          </w:tcPr>
          <w:p w:rsidR="00C206FE" w:rsidRPr="00312977" w:rsidRDefault="002055A6" w:rsidP="00625E19">
            <w:pPr>
              <w:ind w:right="-108"/>
              <w:jc w:val="center"/>
              <w:rPr>
                <w:sz w:val="16"/>
                <w:szCs w:val="16"/>
                <w:lang w:val="en-US"/>
              </w:rPr>
            </w:pPr>
            <w:r>
              <w:rPr>
                <w:sz w:val="16"/>
                <w:szCs w:val="16"/>
                <w:lang w:val="en-US"/>
              </w:rPr>
              <w:t>28,18</w:t>
            </w:r>
          </w:p>
        </w:tc>
        <w:tc>
          <w:tcPr>
            <w:tcW w:w="7797" w:type="dxa"/>
            <w:vAlign w:val="center"/>
          </w:tcPr>
          <w:p w:rsidR="009E6F5C" w:rsidRPr="000A314F" w:rsidRDefault="009E6F5C" w:rsidP="009E6F5C">
            <w:pPr>
              <w:rPr>
                <w:sz w:val="16"/>
                <w:szCs w:val="16"/>
                <w:lang w:val="en-US"/>
              </w:rPr>
            </w:pPr>
            <w:r w:rsidRPr="009E6F5C">
              <w:rPr>
                <w:sz w:val="16"/>
                <w:szCs w:val="16"/>
              </w:rPr>
              <w:t>Φορείς</w:t>
            </w:r>
            <w:r w:rsidRPr="000A314F">
              <w:rPr>
                <w:sz w:val="16"/>
                <w:szCs w:val="16"/>
                <w:lang w:val="en-US"/>
              </w:rPr>
              <w:t xml:space="preserve"> </w:t>
            </w:r>
            <w:r w:rsidRPr="009E6F5C">
              <w:rPr>
                <w:sz w:val="16"/>
                <w:szCs w:val="16"/>
              </w:rPr>
              <w:t>υλοποίησης</w:t>
            </w:r>
            <w:r w:rsidRPr="000A314F">
              <w:rPr>
                <w:sz w:val="16"/>
                <w:szCs w:val="16"/>
                <w:lang w:val="en-US"/>
              </w:rPr>
              <w:t xml:space="preserve"> </w:t>
            </w:r>
            <w:r w:rsidRPr="009E6F5C">
              <w:rPr>
                <w:sz w:val="16"/>
                <w:szCs w:val="16"/>
              </w:rPr>
              <w:t>του</w:t>
            </w:r>
            <w:r w:rsidRPr="000A314F">
              <w:rPr>
                <w:sz w:val="16"/>
                <w:szCs w:val="16"/>
                <w:lang w:val="en-US"/>
              </w:rPr>
              <w:t xml:space="preserve"> </w:t>
            </w:r>
            <w:r w:rsidRPr="009E6F5C">
              <w:rPr>
                <w:sz w:val="16"/>
                <w:szCs w:val="16"/>
              </w:rPr>
              <w:t>έργου</w:t>
            </w:r>
            <w:r w:rsidRPr="000A314F">
              <w:rPr>
                <w:sz w:val="16"/>
                <w:szCs w:val="16"/>
                <w:lang w:val="en-US"/>
              </w:rPr>
              <w:t xml:space="preserve"> </w:t>
            </w:r>
            <w:r w:rsidRPr="009E6F5C">
              <w:rPr>
                <w:sz w:val="16"/>
                <w:szCs w:val="16"/>
              </w:rPr>
              <w:t>είναι</w:t>
            </w:r>
            <w:r w:rsidRPr="000A314F">
              <w:rPr>
                <w:sz w:val="16"/>
                <w:szCs w:val="16"/>
                <w:lang w:val="en-US"/>
              </w:rPr>
              <w:t xml:space="preserve"> </w:t>
            </w:r>
            <w:r w:rsidRPr="009E6F5C">
              <w:rPr>
                <w:sz w:val="16"/>
                <w:szCs w:val="16"/>
              </w:rPr>
              <w:t>οι</w:t>
            </w:r>
            <w:r w:rsidRPr="000A314F">
              <w:rPr>
                <w:sz w:val="16"/>
                <w:szCs w:val="16"/>
                <w:lang w:val="en-US"/>
              </w:rPr>
              <w:t xml:space="preserve">: Port System Authority of the Northern Adriatic Sea – ports of Venice and Chioggia One Team S.A., Venice Ro Port </w:t>
            </w:r>
            <w:proofErr w:type="spellStart"/>
            <w:r w:rsidRPr="000A314F">
              <w:rPr>
                <w:sz w:val="16"/>
                <w:szCs w:val="16"/>
                <w:lang w:val="en-US"/>
              </w:rPr>
              <w:t>Mos</w:t>
            </w:r>
            <w:proofErr w:type="spellEnd"/>
            <w:r w:rsidRPr="000A314F">
              <w:rPr>
                <w:sz w:val="16"/>
                <w:szCs w:val="16"/>
                <w:lang w:val="en-US"/>
              </w:rPr>
              <w:t xml:space="preserve"> </w:t>
            </w:r>
            <w:proofErr w:type="spellStart"/>
            <w:r w:rsidRPr="000A314F">
              <w:rPr>
                <w:sz w:val="16"/>
                <w:szCs w:val="16"/>
                <w:lang w:val="en-US"/>
              </w:rPr>
              <w:t>S.c.p.A</w:t>
            </w:r>
            <w:proofErr w:type="spellEnd"/>
            <w:r w:rsidRPr="000A314F">
              <w:rPr>
                <w:sz w:val="16"/>
                <w:szCs w:val="16"/>
                <w:lang w:val="en-US"/>
              </w:rPr>
              <w:t xml:space="preserve">., </w:t>
            </w:r>
            <w:r w:rsidRPr="009E6F5C">
              <w:rPr>
                <w:sz w:val="16"/>
                <w:szCs w:val="16"/>
              </w:rPr>
              <w:t>Οργανισμός</w:t>
            </w:r>
            <w:r w:rsidRPr="000A314F">
              <w:rPr>
                <w:sz w:val="16"/>
                <w:szCs w:val="16"/>
                <w:lang w:val="en-US"/>
              </w:rPr>
              <w:t xml:space="preserve"> </w:t>
            </w:r>
            <w:r w:rsidRPr="009E6F5C">
              <w:rPr>
                <w:sz w:val="16"/>
                <w:szCs w:val="16"/>
              </w:rPr>
              <w:t>Λιμένος</w:t>
            </w:r>
            <w:r w:rsidRPr="000A314F">
              <w:rPr>
                <w:sz w:val="16"/>
                <w:szCs w:val="16"/>
                <w:lang w:val="en-US"/>
              </w:rPr>
              <w:t xml:space="preserve"> </w:t>
            </w:r>
            <w:r w:rsidRPr="009E6F5C">
              <w:rPr>
                <w:sz w:val="16"/>
                <w:szCs w:val="16"/>
              </w:rPr>
              <w:t>Πατρών</w:t>
            </w:r>
            <w:r w:rsidRPr="000A314F">
              <w:rPr>
                <w:sz w:val="16"/>
                <w:szCs w:val="16"/>
                <w:lang w:val="en-US"/>
              </w:rPr>
              <w:t xml:space="preserve"> </w:t>
            </w:r>
            <w:r w:rsidRPr="009E6F5C">
              <w:rPr>
                <w:sz w:val="16"/>
                <w:szCs w:val="16"/>
              </w:rPr>
              <w:t>Α</w:t>
            </w:r>
            <w:r w:rsidRPr="000A314F">
              <w:rPr>
                <w:sz w:val="16"/>
                <w:szCs w:val="16"/>
                <w:lang w:val="en-US"/>
              </w:rPr>
              <w:t>.</w:t>
            </w:r>
            <w:r w:rsidRPr="009E6F5C">
              <w:rPr>
                <w:sz w:val="16"/>
                <w:szCs w:val="16"/>
              </w:rPr>
              <w:t>Ε</w:t>
            </w:r>
            <w:r w:rsidRPr="000A314F">
              <w:rPr>
                <w:sz w:val="16"/>
                <w:szCs w:val="16"/>
                <w:lang w:val="en-US"/>
              </w:rPr>
              <w:t xml:space="preserve">. </w:t>
            </w:r>
            <w:r w:rsidRPr="009E6F5C">
              <w:rPr>
                <w:sz w:val="16"/>
                <w:szCs w:val="16"/>
              </w:rPr>
              <w:t>και</w:t>
            </w:r>
            <w:r w:rsidRPr="000A314F">
              <w:rPr>
                <w:sz w:val="16"/>
                <w:szCs w:val="16"/>
                <w:lang w:val="en-US"/>
              </w:rPr>
              <w:t xml:space="preserve"> </w:t>
            </w:r>
            <w:r w:rsidRPr="009E6F5C">
              <w:rPr>
                <w:sz w:val="16"/>
                <w:szCs w:val="16"/>
              </w:rPr>
              <w:t>το</w:t>
            </w:r>
            <w:r w:rsidRPr="000A314F">
              <w:rPr>
                <w:sz w:val="16"/>
                <w:szCs w:val="16"/>
                <w:lang w:val="en-US"/>
              </w:rPr>
              <w:t xml:space="preserve"> </w:t>
            </w:r>
            <w:r w:rsidRPr="009E6F5C">
              <w:rPr>
                <w:sz w:val="16"/>
                <w:szCs w:val="16"/>
              </w:rPr>
              <w:t>Υπουργείο</w:t>
            </w:r>
            <w:r w:rsidRPr="000A314F">
              <w:rPr>
                <w:sz w:val="16"/>
                <w:szCs w:val="16"/>
                <w:lang w:val="en-US"/>
              </w:rPr>
              <w:t xml:space="preserve"> </w:t>
            </w:r>
            <w:r w:rsidRPr="009E6F5C">
              <w:rPr>
                <w:sz w:val="16"/>
                <w:szCs w:val="16"/>
              </w:rPr>
              <w:t>Υποδομών</w:t>
            </w:r>
            <w:r w:rsidRPr="000A314F">
              <w:rPr>
                <w:sz w:val="16"/>
                <w:szCs w:val="16"/>
                <w:lang w:val="en-US"/>
              </w:rPr>
              <w:t xml:space="preserve"> </w:t>
            </w:r>
            <w:r w:rsidRPr="009E6F5C">
              <w:rPr>
                <w:sz w:val="16"/>
                <w:szCs w:val="16"/>
              </w:rPr>
              <w:t>και</w:t>
            </w:r>
            <w:r w:rsidRPr="000A314F">
              <w:rPr>
                <w:sz w:val="16"/>
                <w:szCs w:val="16"/>
                <w:lang w:val="en-US"/>
              </w:rPr>
              <w:t xml:space="preserve"> </w:t>
            </w:r>
            <w:r w:rsidRPr="009E6F5C">
              <w:rPr>
                <w:sz w:val="16"/>
                <w:szCs w:val="16"/>
              </w:rPr>
              <w:t>μεταφορών</w:t>
            </w:r>
            <w:r w:rsidRPr="000A314F">
              <w:rPr>
                <w:sz w:val="16"/>
                <w:szCs w:val="16"/>
                <w:lang w:val="en-US"/>
              </w:rPr>
              <w:t xml:space="preserve"> </w:t>
            </w:r>
            <w:r w:rsidRPr="009E6F5C">
              <w:rPr>
                <w:sz w:val="16"/>
                <w:szCs w:val="16"/>
              </w:rPr>
              <w:t>της</w:t>
            </w:r>
            <w:r w:rsidRPr="000A314F">
              <w:rPr>
                <w:sz w:val="16"/>
                <w:szCs w:val="16"/>
                <w:lang w:val="en-US"/>
              </w:rPr>
              <w:t xml:space="preserve"> </w:t>
            </w:r>
            <w:r w:rsidRPr="009E6F5C">
              <w:rPr>
                <w:sz w:val="16"/>
                <w:szCs w:val="16"/>
              </w:rPr>
              <w:t>Ιταλίας</w:t>
            </w:r>
            <w:r w:rsidRPr="000A314F">
              <w:rPr>
                <w:sz w:val="16"/>
                <w:szCs w:val="16"/>
                <w:lang w:val="en-US"/>
              </w:rPr>
              <w:t xml:space="preserve">. </w:t>
            </w:r>
          </w:p>
          <w:p w:rsidR="00C206FE" w:rsidRPr="00312977" w:rsidRDefault="009E6F5C" w:rsidP="009E6F5C">
            <w:pPr>
              <w:rPr>
                <w:sz w:val="16"/>
                <w:szCs w:val="16"/>
              </w:rPr>
            </w:pPr>
            <w:r w:rsidRPr="009E6F5C">
              <w:rPr>
                <w:sz w:val="16"/>
                <w:szCs w:val="16"/>
              </w:rPr>
              <w:t>Το τμήμα του έργου που θα υλοποιηθεί από τον ΟΛΠΑ Α.Ε. αφορά στην κατασκευή τριών πλωτών δεστρών από σκυρόδεμα καθώς και την κατασκευή τεσσάρων προβλητών για την εξυπηρέτηση βοηθητικών σκαφών στη βόρεια προβλήτα του νότιου  λιμένα για την εξυπηρέτηση των ρυμουλκών και του πυροσβεστικού πλοίου.</w:t>
            </w:r>
          </w:p>
        </w:tc>
      </w:tr>
      <w:tr w:rsidR="00DB44C4" w:rsidRPr="009E6F5C" w:rsidTr="009E6F5C">
        <w:trPr>
          <w:trHeight w:val="20"/>
        </w:trPr>
        <w:tc>
          <w:tcPr>
            <w:tcW w:w="567" w:type="dxa"/>
            <w:vAlign w:val="center"/>
          </w:tcPr>
          <w:p w:rsidR="00DB44C4" w:rsidRPr="00CB469A" w:rsidRDefault="00E66BA0" w:rsidP="00DB44C4">
            <w:pPr>
              <w:rPr>
                <w:sz w:val="20"/>
                <w:szCs w:val="20"/>
                <w:lang w:val="en-US"/>
              </w:rPr>
            </w:pPr>
            <w:r>
              <w:rPr>
                <w:sz w:val="20"/>
                <w:szCs w:val="20"/>
                <w:lang w:val="en-US"/>
              </w:rPr>
              <w:t>5</w:t>
            </w:r>
          </w:p>
        </w:tc>
        <w:tc>
          <w:tcPr>
            <w:tcW w:w="2978" w:type="dxa"/>
            <w:vAlign w:val="center"/>
          </w:tcPr>
          <w:p w:rsidR="00DB44C4" w:rsidRPr="00312977" w:rsidRDefault="00DB44C4" w:rsidP="00DB44C4">
            <w:pPr>
              <w:rPr>
                <w:sz w:val="16"/>
                <w:szCs w:val="16"/>
                <w:lang w:val="en-US"/>
              </w:rPr>
            </w:pPr>
            <w:r w:rsidRPr="00312977">
              <w:rPr>
                <w:sz w:val="16"/>
                <w:szCs w:val="16"/>
                <w:lang w:val="en-US"/>
              </w:rPr>
              <w:t>Study on a pilot CNG fueling Station network across the Greek part of the Orient East Mediterranean Road Corridor</w:t>
            </w:r>
          </w:p>
        </w:tc>
        <w:tc>
          <w:tcPr>
            <w:tcW w:w="1701" w:type="dxa"/>
            <w:vAlign w:val="center"/>
          </w:tcPr>
          <w:p w:rsidR="00DB44C4" w:rsidRPr="00312977" w:rsidRDefault="00C8161F" w:rsidP="00C8161F">
            <w:pPr>
              <w:ind w:left="-108" w:right="-108"/>
              <w:rPr>
                <w:sz w:val="16"/>
                <w:szCs w:val="16"/>
                <w:lang w:val="en-US"/>
              </w:rPr>
            </w:pPr>
            <w:r w:rsidRPr="00312977">
              <w:rPr>
                <w:sz w:val="16"/>
                <w:szCs w:val="16"/>
              </w:rPr>
              <w:t>2016</w:t>
            </w:r>
            <w:r w:rsidRPr="00312977">
              <w:rPr>
                <w:sz w:val="16"/>
                <w:szCs w:val="16"/>
                <w:lang w:val="en-US"/>
              </w:rPr>
              <w:t>-</w:t>
            </w:r>
            <w:r w:rsidRPr="00312977">
              <w:rPr>
                <w:sz w:val="16"/>
                <w:szCs w:val="16"/>
              </w:rPr>
              <w:t>Ε</w:t>
            </w:r>
            <w:r w:rsidRPr="00312977">
              <w:rPr>
                <w:sz w:val="16"/>
                <w:szCs w:val="16"/>
                <w:lang w:val="en-US"/>
              </w:rPr>
              <w:t>L</w:t>
            </w:r>
            <w:r w:rsidRPr="00312977">
              <w:rPr>
                <w:sz w:val="16"/>
                <w:szCs w:val="16"/>
              </w:rPr>
              <w:t>-ΤΜ-0227-</w:t>
            </w:r>
            <w:r w:rsidRPr="00312977">
              <w:rPr>
                <w:sz w:val="16"/>
                <w:szCs w:val="16"/>
                <w:lang w:val="en-US"/>
              </w:rPr>
              <w:t>S</w:t>
            </w:r>
          </w:p>
        </w:tc>
        <w:tc>
          <w:tcPr>
            <w:tcW w:w="1275" w:type="dxa"/>
            <w:vAlign w:val="center"/>
          </w:tcPr>
          <w:p w:rsidR="00DB44C4" w:rsidRPr="00312977" w:rsidRDefault="00DB44C4" w:rsidP="00625E19">
            <w:pPr>
              <w:autoSpaceDE w:val="0"/>
              <w:autoSpaceDN w:val="0"/>
              <w:adjustRightInd w:val="0"/>
              <w:ind w:right="34"/>
              <w:rPr>
                <w:sz w:val="16"/>
                <w:szCs w:val="16"/>
                <w:lang w:val="en-US"/>
              </w:rPr>
            </w:pPr>
            <w:r w:rsidRPr="00312977">
              <w:rPr>
                <w:sz w:val="16"/>
                <w:szCs w:val="16"/>
              </w:rPr>
              <w:t>ΔΕΠΑ</w:t>
            </w:r>
            <w:r w:rsidRPr="00312977">
              <w:rPr>
                <w:sz w:val="16"/>
                <w:szCs w:val="16"/>
                <w:lang w:val="en-US"/>
              </w:rPr>
              <w:t>,</w:t>
            </w:r>
          </w:p>
          <w:p w:rsidR="00DB44C4" w:rsidRPr="00312977" w:rsidRDefault="00DB44C4" w:rsidP="00625E19">
            <w:pPr>
              <w:autoSpaceDE w:val="0"/>
              <w:autoSpaceDN w:val="0"/>
              <w:adjustRightInd w:val="0"/>
              <w:ind w:right="34"/>
              <w:rPr>
                <w:sz w:val="16"/>
                <w:szCs w:val="16"/>
                <w:lang w:val="en-US"/>
              </w:rPr>
            </w:pPr>
            <w:r w:rsidRPr="00312977">
              <w:rPr>
                <w:sz w:val="16"/>
                <w:szCs w:val="16"/>
                <w:lang w:val="en-US"/>
              </w:rPr>
              <w:t>ONE TEAM, OPTILOG,</w:t>
            </w:r>
          </w:p>
          <w:p w:rsidR="00DB44C4" w:rsidRPr="00312977" w:rsidRDefault="00DB44C4" w:rsidP="00625E19">
            <w:pPr>
              <w:autoSpaceDE w:val="0"/>
              <w:autoSpaceDN w:val="0"/>
              <w:adjustRightInd w:val="0"/>
              <w:ind w:right="34"/>
              <w:rPr>
                <w:sz w:val="16"/>
                <w:szCs w:val="16"/>
                <w:lang w:val="en-US"/>
              </w:rPr>
            </w:pPr>
            <w:r w:rsidRPr="00312977">
              <w:rPr>
                <w:sz w:val="16"/>
                <w:szCs w:val="16"/>
                <w:lang w:val="en-US"/>
              </w:rPr>
              <w:t>LEVER</w:t>
            </w:r>
          </w:p>
        </w:tc>
        <w:tc>
          <w:tcPr>
            <w:tcW w:w="1134" w:type="dxa"/>
            <w:vAlign w:val="center"/>
          </w:tcPr>
          <w:p w:rsidR="00DB44C4" w:rsidRPr="00312977" w:rsidRDefault="00DB44C4" w:rsidP="00625E19">
            <w:pPr>
              <w:ind w:left="33" w:right="33"/>
              <w:jc w:val="center"/>
              <w:rPr>
                <w:sz w:val="16"/>
                <w:szCs w:val="16"/>
                <w:lang w:val="en-US"/>
              </w:rPr>
            </w:pPr>
            <w:r w:rsidRPr="00312977">
              <w:rPr>
                <w:sz w:val="16"/>
                <w:szCs w:val="16"/>
                <w:lang w:val="en-US"/>
              </w:rPr>
              <w:t>MAP, General</w:t>
            </w:r>
            <w:r w:rsidRPr="00312977">
              <w:rPr>
                <w:sz w:val="16"/>
                <w:szCs w:val="16"/>
                <w:lang w:val="en-US"/>
              </w:rPr>
              <w:br/>
              <w:t>Innovation</w:t>
            </w:r>
          </w:p>
        </w:tc>
        <w:tc>
          <w:tcPr>
            <w:tcW w:w="1418" w:type="dxa"/>
            <w:vAlign w:val="center"/>
          </w:tcPr>
          <w:p w:rsidR="00DB44C4" w:rsidRPr="00312977" w:rsidRDefault="002055A6" w:rsidP="00E66BA0">
            <w:pPr>
              <w:jc w:val="center"/>
              <w:rPr>
                <w:sz w:val="16"/>
                <w:szCs w:val="16"/>
                <w:lang w:val="en-US"/>
              </w:rPr>
            </w:pPr>
            <w:r>
              <w:rPr>
                <w:sz w:val="16"/>
                <w:szCs w:val="16"/>
                <w:lang w:val="en-US"/>
              </w:rPr>
              <w:t>9.088.300</w:t>
            </w:r>
          </w:p>
        </w:tc>
        <w:tc>
          <w:tcPr>
            <w:tcW w:w="1559" w:type="dxa"/>
            <w:vAlign w:val="center"/>
          </w:tcPr>
          <w:p w:rsidR="00DB44C4" w:rsidRPr="00312977" w:rsidRDefault="002055A6" w:rsidP="00E66BA0">
            <w:pPr>
              <w:jc w:val="center"/>
              <w:rPr>
                <w:sz w:val="16"/>
                <w:szCs w:val="16"/>
                <w:lang w:val="en-US"/>
              </w:rPr>
            </w:pPr>
            <w:r>
              <w:rPr>
                <w:sz w:val="16"/>
                <w:szCs w:val="16"/>
                <w:lang w:val="en-US"/>
              </w:rPr>
              <w:t>4.544.150</w:t>
            </w:r>
          </w:p>
        </w:tc>
        <w:tc>
          <w:tcPr>
            <w:tcW w:w="1276" w:type="dxa"/>
            <w:vAlign w:val="center"/>
          </w:tcPr>
          <w:p w:rsidR="00DB44C4" w:rsidRPr="00312977" w:rsidRDefault="00DB44C4" w:rsidP="00E66BA0">
            <w:pPr>
              <w:jc w:val="center"/>
              <w:rPr>
                <w:sz w:val="16"/>
                <w:szCs w:val="16"/>
                <w:lang w:val="en-US"/>
              </w:rPr>
            </w:pPr>
          </w:p>
        </w:tc>
        <w:tc>
          <w:tcPr>
            <w:tcW w:w="1134" w:type="dxa"/>
            <w:vAlign w:val="center"/>
          </w:tcPr>
          <w:p w:rsidR="00DB44C4" w:rsidRPr="00312977" w:rsidRDefault="002055A6" w:rsidP="00E66BA0">
            <w:pPr>
              <w:ind w:left="-108"/>
              <w:jc w:val="center"/>
              <w:rPr>
                <w:sz w:val="16"/>
                <w:szCs w:val="16"/>
                <w:lang w:val="en-US"/>
              </w:rPr>
            </w:pPr>
            <w:r>
              <w:rPr>
                <w:sz w:val="16"/>
                <w:szCs w:val="16"/>
                <w:lang w:val="en-US"/>
              </w:rPr>
              <w:t>4.544.150</w:t>
            </w:r>
          </w:p>
        </w:tc>
        <w:tc>
          <w:tcPr>
            <w:tcW w:w="850" w:type="dxa"/>
            <w:vAlign w:val="center"/>
          </w:tcPr>
          <w:p w:rsidR="00DB44C4" w:rsidRPr="00312977" w:rsidRDefault="00DB44C4" w:rsidP="00625E19">
            <w:pPr>
              <w:ind w:right="-108"/>
              <w:jc w:val="center"/>
              <w:rPr>
                <w:sz w:val="16"/>
                <w:szCs w:val="16"/>
                <w:lang w:val="en-US"/>
              </w:rPr>
            </w:pPr>
            <w:r w:rsidRPr="00312977">
              <w:rPr>
                <w:sz w:val="16"/>
                <w:szCs w:val="16"/>
                <w:lang w:val="en-US"/>
              </w:rPr>
              <w:t>50</w:t>
            </w:r>
          </w:p>
        </w:tc>
        <w:tc>
          <w:tcPr>
            <w:tcW w:w="7797" w:type="dxa"/>
            <w:vAlign w:val="center"/>
          </w:tcPr>
          <w:p w:rsidR="009E6F5C" w:rsidRPr="009E6F5C" w:rsidRDefault="009E6F5C" w:rsidP="009E6F5C">
            <w:pPr>
              <w:rPr>
                <w:sz w:val="16"/>
                <w:szCs w:val="16"/>
              </w:rPr>
            </w:pPr>
            <w:r w:rsidRPr="009E6F5C">
              <w:rPr>
                <w:sz w:val="16"/>
                <w:szCs w:val="16"/>
              </w:rPr>
              <w:t>Το έργο αφορά την υλοποίηση μελέτης με πιλοτικές δραστηριότητες την υλοποίηση 13 σημείων τροφοδοσίας CNG σε 10 υπάρχοντα πρατήρια υγρών καυσίμων κατά μήκος του οδικού κεντρικού δικτύου και ειδικότερα στο οδικό ύψος της Λάρισας, Θήβας, Αλεξανδρούπολης, Ηγουμενίτσας, Πάτρας, Κοζάνης, Κιάτου, Ιωαννίνων, Ξάνθης και Σερρών.</w:t>
            </w:r>
          </w:p>
          <w:p w:rsidR="00DB44C4" w:rsidRPr="009E6F5C" w:rsidRDefault="009E6F5C" w:rsidP="009E6F5C">
            <w:pPr>
              <w:rPr>
                <w:sz w:val="16"/>
                <w:szCs w:val="16"/>
              </w:rPr>
            </w:pPr>
            <w:r w:rsidRPr="009E6F5C">
              <w:rPr>
                <w:sz w:val="16"/>
                <w:szCs w:val="16"/>
              </w:rPr>
              <w:t>Τα σημεία ανεφοδιασμού σταθμών CNG θα κατασκευαστούν εντός υπαρχόντων πρατηρίων υγρών καυσίμων με επέκταση της ισχύουσας άδειας λειτουργίας.</w:t>
            </w:r>
          </w:p>
        </w:tc>
      </w:tr>
      <w:tr w:rsidR="00DB44C4" w:rsidRPr="009E6F5C" w:rsidTr="009E6F5C">
        <w:trPr>
          <w:trHeight w:val="886"/>
        </w:trPr>
        <w:tc>
          <w:tcPr>
            <w:tcW w:w="567" w:type="dxa"/>
            <w:vAlign w:val="center"/>
          </w:tcPr>
          <w:p w:rsidR="00DB44C4" w:rsidRPr="00CB469A" w:rsidRDefault="00E66BA0" w:rsidP="00DB44C4">
            <w:pPr>
              <w:rPr>
                <w:sz w:val="20"/>
                <w:szCs w:val="20"/>
                <w:lang w:val="en-US"/>
              </w:rPr>
            </w:pPr>
            <w:r>
              <w:rPr>
                <w:sz w:val="20"/>
                <w:szCs w:val="20"/>
                <w:lang w:val="en-US"/>
              </w:rPr>
              <w:t>6</w:t>
            </w:r>
          </w:p>
        </w:tc>
        <w:tc>
          <w:tcPr>
            <w:tcW w:w="2978" w:type="dxa"/>
            <w:vAlign w:val="center"/>
          </w:tcPr>
          <w:p w:rsidR="00DB44C4" w:rsidRPr="00312977" w:rsidRDefault="00DB44C4" w:rsidP="00DB44C4">
            <w:pPr>
              <w:rPr>
                <w:sz w:val="16"/>
                <w:szCs w:val="16"/>
                <w:lang w:val="en-US"/>
              </w:rPr>
            </w:pPr>
            <w:r w:rsidRPr="00312977">
              <w:rPr>
                <w:sz w:val="16"/>
                <w:szCs w:val="16"/>
                <w:lang w:val="en-US"/>
              </w:rPr>
              <w:t xml:space="preserve">SESAR Deployment </w:t>
            </w:r>
            <w:proofErr w:type="spellStart"/>
            <w:r w:rsidRPr="00312977">
              <w:rPr>
                <w:sz w:val="16"/>
                <w:szCs w:val="16"/>
                <w:lang w:val="en-US"/>
              </w:rPr>
              <w:t>Programme</w:t>
            </w:r>
            <w:proofErr w:type="spellEnd"/>
            <w:r w:rsidRPr="00312977">
              <w:rPr>
                <w:sz w:val="16"/>
                <w:szCs w:val="16"/>
                <w:lang w:val="en-US"/>
              </w:rPr>
              <w:t xml:space="preserve"> implementation 2016 </w:t>
            </w:r>
            <w:r w:rsidRPr="00312977">
              <w:rPr>
                <w:rFonts w:hint="eastAsia"/>
                <w:sz w:val="16"/>
                <w:szCs w:val="16"/>
                <w:lang w:val="en-US"/>
              </w:rPr>
              <w:t>–</w:t>
            </w:r>
            <w:r w:rsidRPr="00312977">
              <w:rPr>
                <w:sz w:val="16"/>
                <w:szCs w:val="16"/>
                <w:lang w:val="en-US"/>
              </w:rPr>
              <w:t xml:space="preserve"> Cluster 1: General</w:t>
            </w:r>
          </w:p>
        </w:tc>
        <w:tc>
          <w:tcPr>
            <w:tcW w:w="1701" w:type="dxa"/>
            <w:vAlign w:val="center"/>
          </w:tcPr>
          <w:p w:rsidR="00DB44C4" w:rsidRPr="00312977" w:rsidRDefault="00472CE9" w:rsidP="00472CE9">
            <w:pPr>
              <w:ind w:left="-108" w:right="-108"/>
              <w:rPr>
                <w:sz w:val="16"/>
                <w:szCs w:val="16"/>
                <w:lang w:val="en-US"/>
              </w:rPr>
            </w:pPr>
            <w:r w:rsidRPr="00312977">
              <w:rPr>
                <w:sz w:val="16"/>
                <w:szCs w:val="16"/>
              </w:rPr>
              <w:t>2016-EU-TM-0117-M</w:t>
            </w:r>
          </w:p>
        </w:tc>
        <w:tc>
          <w:tcPr>
            <w:tcW w:w="1275" w:type="dxa"/>
            <w:vAlign w:val="center"/>
          </w:tcPr>
          <w:p w:rsidR="00DB44C4" w:rsidRPr="00312977" w:rsidRDefault="00DB44C4" w:rsidP="00625E19">
            <w:pPr>
              <w:autoSpaceDE w:val="0"/>
              <w:autoSpaceDN w:val="0"/>
              <w:adjustRightInd w:val="0"/>
              <w:ind w:right="34"/>
              <w:rPr>
                <w:sz w:val="16"/>
                <w:szCs w:val="16"/>
                <w:lang w:val="en-US"/>
              </w:rPr>
            </w:pPr>
            <w:r w:rsidRPr="00312977">
              <w:rPr>
                <w:sz w:val="16"/>
                <w:szCs w:val="16"/>
              </w:rPr>
              <w:t>ΥΠΑ</w:t>
            </w:r>
          </w:p>
        </w:tc>
        <w:tc>
          <w:tcPr>
            <w:tcW w:w="1134" w:type="dxa"/>
            <w:vAlign w:val="center"/>
          </w:tcPr>
          <w:p w:rsidR="00DB44C4" w:rsidRPr="00312977" w:rsidRDefault="00DB44C4" w:rsidP="00625E19">
            <w:pPr>
              <w:ind w:left="33" w:right="33"/>
              <w:jc w:val="center"/>
              <w:rPr>
                <w:sz w:val="16"/>
                <w:szCs w:val="16"/>
                <w:lang w:val="en-US"/>
              </w:rPr>
            </w:pPr>
            <w:r w:rsidRPr="00312977">
              <w:rPr>
                <w:sz w:val="16"/>
                <w:szCs w:val="16"/>
                <w:lang w:val="en-US"/>
              </w:rPr>
              <w:t>MAP, General</w:t>
            </w:r>
            <w:r w:rsidRPr="00312977">
              <w:rPr>
                <w:sz w:val="16"/>
                <w:szCs w:val="16"/>
                <w:lang w:val="en-US"/>
              </w:rPr>
              <w:br/>
              <w:t>SESAR</w:t>
            </w:r>
          </w:p>
        </w:tc>
        <w:tc>
          <w:tcPr>
            <w:tcW w:w="1418" w:type="dxa"/>
            <w:vAlign w:val="center"/>
          </w:tcPr>
          <w:p w:rsidR="00DB44C4" w:rsidRPr="00312977" w:rsidRDefault="002055A6" w:rsidP="00E66BA0">
            <w:pPr>
              <w:jc w:val="center"/>
              <w:rPr>
                <w:sz w:val="16"/>
                <w:szCs w:val="16"/>
                <w:lang w:val="en-US"/>
              </w:rPr>
            </w:pPr>
            <w:r>
              <w:rPr>
                <w:sz w:val="16"/>
                <w:szCs w:val="16"/>
                <w:lang w:val="en-US"/>
              </w:rPr>
              <w:t>6.513.536</w:t>
            </w:r>
          </w:p>
        </w:tc>
        <w:tc>
          <w:tcPr>
            <w:tcW w:w="1559" w:type="dxa"/>
            <w:vAlign w:val="center"/>
          </w:tcPr>
          <w:p w:rsidR="00DB44C4" w:rsidRPr="00312977" w:rsidRDefault="002055A6" w:rsidP="00E66BA0">
            <w:pPr>
              <w:jc w:val="center"/>
              <w:rPr>
                <w:sz w:val="16"/>
                <w:szCs w:val="16"/>
                <w:lang w:val="en-US"/>
              </w:rPr>
            </w:pPr>
            <w:r>
              <w:rPr>
                <w:sz w:val="16"/>
                <w:szCs w:val="16"/>
                <w:lang w:val="en-US"/>
              </w:rPr>
              <w:t>2.685.531</w:t>
            </w:r>
          </w:p>
        </w:tc>
        <w:tc>
          <w:tcPr>
            <w:tcW w:w="1276" w:type="dxa"/>
            <w:vAlign w:val="center"/>
          </w:tcPr>
          <w:p w:rsidR="00DB44C4" w:rsidRPr="00312977" w:rsidRDefault="00DB44C4" w:rsidP="00E66BA0">
            <w:pPr>
              <w:jc w:val="center"/>
              <w:rPr>
                <w:sz w:val="16"/>
                <w:szCs w:val="16"/>
              </w:rPr>
            </w:pPr>
          </w:p>
        </w:tc>
        <w:tc>
          <w:tcPr>
            <w:tcW w:w="1134" w:type="dxa"/>
            <w:vAlign w:val="center"/>
          </w:tcPr>
          <w:p w:rsidR="00DB44C4" w:rsidRPr="00312977" w:rsidRDefault="002055A6" w:rsidP="00E66BA0">
            <w:pPr>
              <w:ind w:left="-108" w:right="-108"/>
              <w:jc w:val="center"/>
              <w:rPr>
                <w:sz w:val="16"/>
                <w:szCs w:val="16"/>
                <w:lang w:val="en-US"/>
              </w:rPr>
            </w:pPr>
            <w:r>
              <w:rPr>
                <w:sz w:val="16"/>
                <w:szCs w:val="16"/>
                <w:lang w:val="en-US"/>
              </w:rPr>
              <w:t>3.828.005</w:t>
            </w:r>
          </w:p>
        </w:tc>
        <w:tc>
          <w:tcPr>
            <w:tcW w:w="850" w:type="dxa"/>
            <w:vAlign w:val="center"/>
          </w:tcPr>
          <w:p w:rsidR="00DB44C4" w:rsidRPr="00312977" w:rsidRDefault="0048507D" w:rsidP="00625E19">
            <w:pPr>
              <w:ind w:right="-108"/>
              <w:jc w:val="center"/>
              <w:rPr>
                <w:sz w:val="16"/>
                <w:szCs w:val="16"/>
                <w:lang w:val="en-US"/>
              </w:rPr>
            </w:pPr>
            <w:r w:rsidRPr="00312977">
              <w:rPr>
                <w:sz w:val="16"/>
                <w:szCs w:val="16"/>
                <w:lang w:val="en-US"/>
              </w:rPr>
              <w:t>41,23</w:t>
            </w:r>
          </w:p>
        </w:tc>
        <w:tc>
          <w:tcPr>
            <w:tcW w:w="7797" w:type="dxa"/>
            <w:vAlign w:val="center"/>
          </w:tcPr>
          <w:p w:rsidR="009E6F5C" w:rsidRPr="009E6F5C" w:rsidRDefault="009E6F5C" w:rsidP="009E6F5C">
            <w:pPr>
              <w:rPr>
                <w:sz w:val="16"/>
                <w:szCs w:val="16"/>
              </w:rPr>
            </w:pPr>
            <w:r w:rsidRPr="009E6F5C">
              <w:rPr>
                <w:sz w:val="16"/>
                <w:szCs w:val="16"/>
              </w:rPr>
              <w:t xml:space="preserve">Φορέας υλοποίησης από ελληνικής πλευράς είναι η Υπηρεσία Πολιτικής Αεροπορίας και από άλλα κράτη 70 φορείς υλοποίησης (Ισπανία, Ιταλία, Γερμανία, Πορτογαλία, Γαλλία, Μάλτα, Κύπρος, Ουγγαρία, Αυστρία, Κροατία, Σουηδία). Συντονιστής της δράσης είναι ο SDM </w:t>
            </w:r>
            <w:proofErr w:type="spellStart"/>
            <w:r w:rsidRPr="009E6F5C">
              <w:rPr>
                <w:sz w:val="16"/>
                <w:szCs w:val="16"/>
              </w:rPr>
              <w:t>Deployment</w:t>
            </w:r>
            <w:proofErr w:type="spellEnd"/>
            <w:r w:rsidRPr="009E6F5C">
              <w:rPr>
                <w:sz w:val="16"/>
                <w:szCs w:val="16"/>
              </w:rPr>
              <w:t xml:space="preserve"> </w:t>
            </w:r>
            <w:proofErr w:type="spellStart"/>
            <w:r w:rsidRPr="009E6F5C">
              <w:rPr>
                <w:sz w:val="16"/>
                <w:szCs w:val="16"/>
              </w:rPr>
              <w:t>Manager</w:t>
            </w:r>
            <w:proofErr w:type="spellEnd"/>
            <w:r w:rsidRPr="009E6F5C">
              <w:rPr>
                <w:sz w:val="16"/>
                <w:szCs w:val="16"/>
              </w:rPr>
              <w:t xml:space="preserve">. </w:t>
            </w:r>
          </w:p>
          <w:p w:rsidR="00DB44C4" w:rsidRPr="00312977" w:rsidRDefault="009E6F5C" w:rsidP="000A314F">
            <w:pPr>
              <w:rPr>
                <w:sz w:val="16"/>
                <w:szCs w:val="16"/>
              </w:rPr>
            </w:pPr>
            <w:r w:rsidRPr="009E6F5C">
              <w:rPr>
                <w:sz w:val="16"/>
                <w:szCs w:val="16"/>
              </w:rPr>
              <w:t>Η ελληνική συμμετοχή αφορά στην υλοποίηση της δραστηριότητας “Υλοποίηση συστήματος για την παροχή υπηρεσιών ζεύξης δεδομένων αεροναυτιλίας</w:t>
            </w:r>
            <w:r w:rsidR="000A314F" w:rsidRPr="000A314F">
              <w:rPr>
                <w:sz w:val="16"/>
                <w:szCs w:val="16"/>
              </w:rPr>
              <w:t>”</w:t>
            </w:r>
            <w:r w:rsidRPr="009E6F5C">
              <w:rPr>
                <w:sz w:val="16"/>
                <w:szCs w:val="16"/>
              </w:rPr>
              <w:t>.</w:t>
            </w:r>
          </w:p>
        </w:tc>
      </w:tr>
      <w:tr w:rsidR="00DB44C4" w:rsidRPr="009E6F5C" w:rsidTr="009E6F5C">
        <w:trPr>
          <w:trHeight w:val="1473"/>
        </w:trPr>
        <w:tc>
          <w:tcPr>
            <w:tcW w:w="567" w:type="dxa"/>
            <w:vAlign w:val="center"/>
          </w:tcPr>
          <w:p w:rsidR="00DB44C4" w:rsidRPr="000E0705" w:rsidRDefault="00E66BA0" w:rsidP="00DB44C4">
            <w:pPr>
              <w:rPr>
                <w:sz w:val="20"/>
                <w:szCs w:val="20"/>
                <w:lang w:val="en-US"/>
              </w:rPr>
            </w:pPr>
            <w:r>
              <w:rPr>
                <w:sz w:val="20"/>
                <w:szCs w:val="20"/>
                <w:lang w:val="en-US"/>
              </w:rPr>
              <w:t>7</w:t>
            </w:r>
          </w:p>
        </w:tc>
        <w:tc>
          <w:tcPr>
            <w:tcW w:w="2978" w:type="dxa"/>
            <w:vAlign w:val="center"/>
          </w:tcPr>
          <w:p w:rsidR="00DB44C4" w:rsidRPr="00312977" w:rsidRDefault="00DB44C4" w:rsidP="00DB44C4">
            <w:pPr>
              <w:rPr>
                <w:sz w:val="16"/>
                <w:szCs w:val="16"/>
                <w:lang w:val="en-US"/>
              </w:rPr>
            </w:pPr>
            <w:proofErr w:type="spellStart"/>
            <w:r w:rsidRPr="00312977">
              <w:rPr>
                <w:sz w:val="16"/>
                <w:szCs w:val="16"/>
                <w:lang w:val="en-US"/>
              </w:rPr>
              <w:t>Concorda</w:t>
            </w:r>
            <w:proofErr w:type="spellEnd"/>
          </w:p>
        </w:tc>
        <w:tc>
          <w:tcPr>
            <w:tcW w:w="1701" w:type="dxa"/>
            <w:vAlign w:val="center"/>
          </w:tcPr>
          <w:p w:rsidR="00DB44C4" w:rsidRPr="00312977" w:rsidRDefault="00C8161F" w:rsidP="00DB44C4">
            <w:pPr>
              <w:autoSpaceDE w:val="0"/>
              <w:autoSpaceDN w:val="0"/>
              <w:adjustRightInd w:val="0"/>
              <w:ind w:left="-108" w:right="-108"/>
              <w:rPr>
                <w:sz w:val="16"/>
                <w:szCs w:val="16"/>
                <w:lang w:val="en-US"/>
              </w:rPr>
            </w:pPr>
            <w:r w:rsidRPr="00312977">
              <w:rPr>
                <w:sz w:val="16"/>
                <w:szCs w:val="16"/>
                <w:lang w:val="en-US"/>
              </w:rPr>
              <w:t>2016-EU-TM-0327-S</w:t>
            </w:r>
          </w:p>
        </w:tc>
        <w:tc>
          <w:tcPr>
            <w:tcW w:w="1275" w:type="dxa"/>
            <w:vAlign w:val="center"/>
          </w:tcPr>
          <w:p w:rsidR="00DB44C4" w:rsidRPr="00312977" w:rsidRDefault="00DB44C4" w:rsidP="00625E19">
            <w:pPr>
              <w:autoSpaceDE w:val="0"/>
              <w:autoSpaceDN w:val="0"/>
              <w:adjustRightInd w:val="0"/>
              <w:ind w:right="34"/>
              <w:rPr>
                <w:sz w:val="16"/>
                <w:szCs w:val="16"/>
                <w:lang w:val="en-US"/>
              </w:rPr>
            </w:pPr>
            <w:r w:rsidRPr="00312977">
              <w:rPr>
                <w:sz w:val="16"/>
                <w:szCs w:val="16"/>
              </w:rPr>
              <w:t>Υπουργείο</w:t>
            </w:r>
            <w:r w:rsidRPr="00312977">
              <w:rPr>
                <w:sz w:val="16"/>
                <w:szCs w:val="16"/>
                <w:lang w:val="en-US"/>
              </w:rPr>
              <w:t xml:space="preserve"> </w:t>
            </w:r>
            <w:r w:rsidRPr="00312977">
              <w:rPr>
                <w:sz w:val="16"/>
                <w:szCs w:val="16"/>
              </w:rPr>
              <w:t>Υποδομών</w:t>
            </w:r>
            <w:r w:rsidRPr="00312977">
              <w:rPr>
                <w:sz w:val="16"/>
                <w:szCs w:val="16"/>
                <w:lang w:val="en-US"/>
              </w:rPr>
              <w:t>,</w:t>
            </w:r>
          </w:p>
          <w:p w:rsidR="00DB44C4" w:rsidRPr="00312977" w:rsidRDefault="00DB44C4" w:rsidP="00625E19">
            <w:pPr>
              <w:autoSpaceDE w:val="0"/>
              <w:autoSpaceDN w:val="0"/>
              <w:adjustRightInd w:val="0"/>
              <w:ind w:right="34"/>
              <w:rPr>
                <w:sz w:val="16"/>
                <w:szCs w:val="16"/>
                <w:lang w:val="en-US"/>
              </w:rPr>
            </w:pPr>
            <w:r w:rsidRPr="00312977">
              <w:rPr>
                <w:sz w:val="16"/>
                <w:szCs w:val="16"/>
                <w:lang w:val="en-US"/>
              </w:rPr>
              <w:t>Institute of Communication and Computer Systems</w:t>
            </w:r>
          </w:p>
        </w:tc>
        <w:tc>
          <w:tcPr>
            <w:tcW w:w="1134" w:type="dxa"/>
            <w:vAlign w:val="center"/>
          </w:tcPr>
          <w:p w:rsidR="00DB44C4" w:rsidRPr="00312977" w:rsidRDefault="00DB44C4" w:rsidP="00625E19">
            <w:pPr>
              <w:ind w:left="33" w:right="33"/>
              <w:jc w:val="center"/>
              <w:rPr>
                <w:sz w:val="16"/>
                <w:szCs w:val="16"/>
              </w:rPr>
            </w:pPr>
            <w:r w:rsidRPr="00312977">
              <w:rPr>
                <w:sz w:val="16"/>
                <w:szCs w:val="16"/>
                <w:lang w:val="en-US"/>
              </w:rPr>
              <w:t>MAP</w:t>
            </w:r>
            <w:r w:rsidRPr="00312977">
              <w:rPr>
                <w:sz w:val="16"/>
                <w:szCs w:val="16"/>
              </w:rPr>
              <w:t xml:space="preserve">, </w:t>
            </w:r>
            <w:r w:rsidRPr="00312977">
              <w:rPr>
                <w:sz w:val="16"/>
                <w:szCs w:val="16"/>
                <w:lang w:val="en-US"/>
              </w:rPr>
              <w:t>General</w:t>
            </w:r>
            <w:r w:rsidRPr="00312977">
              <w:rPr>
                <w:sz w:val="16"/>
                <w:szCs w:val="16"/>
              </w:rPr>
              <w:br/>
            </w:r>
            <w:r w:rsidRPr="00312977">
              <w:rPr>
                <w:sz w:val="16"/>
                <w:szCs w:val="16"/>
                <w:lang w:val="en-US"/>
              </w:rPr>
              <w:t>ITS</w:t>
            </w:r>
          </w:p>
        </w:tc>
        <w:tc>
          <w:tcPr>
            <w:tcW w:w="1418" w:type="dxa"/>
            <w:vAlign w:val="center"/>
          </w:tcPr>
          <w:p w:rsidR="00DB44C4" w:rsidRPr="00312977" w:rsidRDefault="00AF64D8" w:rsidP="00E66BA0">
            <w:pPr>
              <w:jc w:val="center"/>
              <w:rPr>
                <w:sz w:val="16"/>
                <w:szCs w:val="16"/>
                <w:lang w:val="en-US"/>
              </w:rPr>
            </w:pPr>
            <w:r>
              <w:rPr>
                <w:sz w:val="16"/>
                <w:szCs w:val="16"/>
                <w:lang w:val="en-US"/>
              </w:rPr>
              <w:t>163.760</w:t>
            </w:r>
          </w:p>
        </w:tc>
        <w:tc>
          <w:tcPr>
            <w:tcW w:w="1559" w:type="dxa"/>
            <w:vAlign w:val="center"/>
          </w:tcPr>
          <w:p w:rsidR="00DB44C4" w:rsidRPr="00312977" w:rsidRDefault="00AF64D8" w:rsidP="00E66BA0">
            <w:pPr>
              <w:jc w:val="center"/>
              <w:rPr>
                <w:sz w:val="16"/>
                <w:szCs w:val="16"/>
                <w:lang w:val="en-US"/>
              </w:rPr>
            </w:pPr>
            <w:r>
              <w:rPr>
                <w:sz w:val="16"/>
                <w:szCs w:val="16"/>
                <w:lang w:val="en-US"/>
              </w:rPr>
              <w:t>81.880</w:t>
            </w:r>
          </w:p>
        </w:tc>
        <w:tc>
          <w:tcPr>
            <w:tcW w:w="1276" w:type="dxa"/>
            <w:vAlign w:val="center"/>
          </w:tcPr>
          <w:p w:rsidR="00DB44C4" w:rsidRPr="00312977" w:rsidRDefault="00AF64D8" w:rsidP="00E66BA0">
            <w:pPr>
              <w:jc w:val="center"/>
              <w:rPr>
                <w:sz w:val="16"/>
                <w:szCs w:val="16"/>
                <w:lang w:val="en-US"/>
              </w:rPr>
            </w:pPr>
            <w:r>
              <w:rPr>
                <w:sz w:val="16"/>
                <w:szCs w:val="16"/>
                <w:lang w:val="en-US"/>
              </w:rPr>
              <w:t>30.705</w:t>
            </w:r>
          </w:p>
        </w:tc>
        <w:tc>
          <w:tcPr>
            <w:tcW w:w="1134" w:type="dxa"/>
            <w:vAlign w:val="center"/>
          </w:tcPr>
          <w:p w:rsidR="00DB44C4" w:rsidRPr="00312977" w:rsidRDefault="00AF64D8" w:rsidP="00E66BA0">
            <w:pPr>
              <w:jc w:val="center"/>
              <w:rPr>
                <w:sz w:val="16"/>
                <w:szCs w:val="16"/>
                <w:lang w:val="en-US"/>
              </w:rPr>
            </w:pPr>
            <w:r>
              <w:rPr>
                <w:sz w:val="16"/>
                <w:szCs w:val="16"/>
                <w:lang w:val="en-US"/>
              </w:rPr>
              <w:t>51.175</w:t>
            </w:r>
          </w:p>
        </w:tc>
        <w:tc>
          <w:tcPr>
            <w:tcW w:w="850" w:type="dxa"/>
            <w:vAlign w:val="center"/>
          </w:tcPr>
          <w:p w:rsidR="00DB44C4" w:rsidRPr="00312977" w:rsidRDefault="00DB44C4" w:rsidP="00625E19">
            <w:pPr>
              <w:jc w:val="center"/>
              <w:rPr>
                <w:sz w:val="16"/>
                <w:szCs w:val="16"/>
                <w:lang w:val="en-US"/>
              </w:rPr>
            </w:pPr>
            <w:r w:rsidRPr="00312977">
              <w:rPr>
                <w:sz w:val="16"/>
                <w:szCs w:val="16"/>
                <w:lang w:val="en-US"/>
              </w:rPr>
              <w:t>50</w:t>
            </w:r>
          </w:p>
        </w:tc>
        <w:tc>
          <w:tcPr>
            <w:tcW w:w="7797" w:type="dxa"/>
            <w:vAlign w:val="center"/>
          </w:tcPr>
          <w:p w:rsidR="00DB44C4" w:rsidRPr="009E6F5C" w:rsidRDefault="009E6F5C" w:rsidP="000A314F">
            <w:pPr>
              <w:rPr>
                <w:sz w:val="16"/>
                <w:szCs w:val="16"/>
              </w:rPr>
            </w:pPr>
            <w:r w:rsidRPr="009E6F5C">
              <w:rPr>
                <w:sz w:val="16"/>
                <w:szCs w:val="16"/>
              </w:rPr>
              <w:t xml:space="preserve">Η μελέτη </w:t>
            </w:r>
            <w:proofErr w:type="spellStart"/>
            <w:r w:rsidRPr="009E6F5C">
              <w:rPr>
                <w:sz w:val="16"/>
                <w:szCs w:val="16"/>
              </w:rPr>
              <w:t>Concorda</w:t>
            </w:r>
            <w:proofErr w:type="spellEnd"/>
            <w:r w:rsidRPr="009E6F5C">
              <w:rPr>
                <w:sz w:val="16"/>
                <w:szCs w:val="16"/>
              </w:rPr>
              <w:t>, προετοιμάζει τους ευρωπαϊκούς αυτοκινητόδρομους για την αυτοματοποιημένη οδήγηση και την πλήρωση φορτηγών υψηλής πυκνότητας με επαρκείς συνδεδεμένες υπηρεσίες και τεχνολογίες. Ο κύριος στόχος είναι να εκτιμηθούν οι επιδόσεις της υβριδικής επικοινω</w:t>
            </w:r>
            <w:bookmarkStart w:id="0" w:name="_GoBack"/>
            <w:bookmarkEnd w:id="0"/>
            <w:r w:rsidRPr="009E6F5C">
              <w:rPr>
                <w:sz w:val="16"/>
                <w:szCs w:val="16"/>
              </w:rPr>
              <w:t xml:space="preserve">νίας σε πραγματικές καταστάσεις κυκλοφορίας. </w:t>
            </w:r>
          </w:p>
        </w:tc>
      </w:tr>
      <w:tr w:rsidR="00DB44C4" w:rsidRPr="00E31DB9" w:rsidTr="009E6F5C">
        <w:trPr>
          <w:trHeight w:val="561"/>
        </w:trPr>
        <w:tc>
          <w:tcPr>
            <w:tcW w:w="7655" w:type="dxa"/>
            <w:gridSpan w:val="5"/>
            <w:tcBorders>
              <w:bottom w:val="single" w:sz="4" w:space="0" w:color="auto"/>
            </w:tcBorders>
            <w:vAlign w:val="center"/>
          </w:tcPr>
          <w:p w:rsidR="00DB44C4" w:rsidRPr="00312977" w:rsidRDefault="00DB44C4" w:rsidP="00272DAC">
            <w:pPr>
              <w:ind w:left="-108" w:right="-108"/>
              <w:jc w:val="center"/>
              <w:rPr>
                <w:b/>
                <w:sz w:val="16"/>
                <w:szCs w:val="16"/>
              </w:rPr>
            </w:pPr>
            <w:r w:rsidRPr="00312977">
              <w:rPr>
                <w:b/>
                <w:sz w:val="16"/>
                <w:szCs w:val="16"/>
              </w:rPr>
              <w:t>ΣΥΝΟΛΑ</w:t>
            </w:r>
          </w:p>
        </w:tc>
        <w:tc>
          <w:tcPr>
            <w:tcW w:w="1418" w:type="dxa"/>
            <w:tcBorders>
              <w:bottom w:val="single" w:sz="4" w:space="0" w:color="auto"/>
            </w:tcBorders>
            <w:vAlign w:val="center"/>
          </w:tcPr>
          <w:p w:rsidR="00DB44C4" w:rsidRPr="00312977" w:rsidRDefault="00E66BA0" w:rsidP="00E66BA0">
            <w:pPr>
              <w:ind w:left="-108" w:right="-108"/>
              <w:jc w:val="center"/>
              <w:rPr>
                <w:b/>
                <w:sz w:val="16"/>
                <w:szCs w:val="16"/>
                <w:lang w:val="en-US"/>
              </w:rPr>
            </w:pPr>
            <w:r>
              <w:rPr>
                <w:b/>
                <w:sz w:val="16"/>
                <w:szCs w:val="16"/>
                <w:lang w:val="en-US"/>
              </w:rPr>
              <w:t>85.728.758</w:t>
            </w:r>
          </w:p>
        </w:tc>
        <w:tc>
          <w:tcPr>
            <w:tcW w:w="1559" w:type="dxa"/>
            <w:tcBorders>
              <w:bottom w:val="single" w:sz="4" w:space="0" w:color="auto"/>
            </w:tcBorders>
            <w:vAlign w:val="center"/>
          </w:tcPr>
          <w:p w:rsidR="00DB44C4" w:rsidRPr="00312977" w:rsidRDefault="00E66BA0" w:rsidP="00E66BA0">
            <w:pPr>
              <w:ind w:right="-108" w:hanging="108"/>
              <w:jc w:val="center"/>
              <w:rPr>
                <w:b/>
                <w:sz w:val="16"/>
                <w:szCs w:val="16"/>
                <w:lang w:val="en-US"/>
              </w:rPr>
            </w:pPr>
            <w:r>
              <w:rPr>
                <w:b/>
                <w:sz w:val="16"/>
                <w:szCs w:val="16"/>
                <w:lang w:val="en-US"/>
              </w:rPr>
              <w:t>58.043.189</w:t>
            </w:r>
          </w:p>
        </w:tc>
        <w:tc>
          <w:tcPr>
            <w:tcW w:w="1276" w:type="dxa"/>
            <w:tcBorders>
              <w:bottom w:val="single" w:sz="4" w:space="0" w:color="auto"/>
            </w:tcBorders>
            <w:vAlign w:val="center"/>
          </w:tcPr>
          <w:p w:rsidR="00DB44C4" w:rsidRPr="00312977" w:rsidRDefault="00E66BA0" w:rsidP="00E66BA0">
            <w:pPr>
              <w:jc w:val="center"/>
              <w:rPr>
                <w:b/>
                <w:sz w:val="16"/>
                <w:szCs w:val="16"/>
                <w:lang w:val="en-US"/>
              </w:rPr>
            </w:pPr>
            <w:r>
              <w:rPr>
                <w:b/>
                <w:sz w:val="16"/>
                <w:szCs w:val="16"/>
                <w:lang w:val="en-US"/>
              </w:rPr>
              <w:t>18.553.526</w:t>
            </w:r>
          </w:p>
        </w:tc>
        <w:tc>
          <w:tcPr>
            <w:tcW w:w="1134" w:type="dxa"/>
            <w:tcBorders>
              <w:bottom w:val="single" w:sz="4" w:space="0" w:color="auto"/>
            </w:tcBorders>
            <w:vAlign w:val="center"/>
          </w:tcPr>
          <w:p w:rsidR="00DB44C4" w:rsidRPr="00312977" w:rsidRDefault="00E66BA0" w:rsidP="00E66BA0">
            <w:pPr>
              <w:ind w:right="-108" w:hanging="108"/>
              <w:jc w:val="center"/>
              <w:rPr>
                <w:b/>
                <w:sz w:val="16"/>
                <w:szCs w:val="16"/>
                <w:lang w:val="en-US"/>
              </w:rPr>
            </w:pPr>
            <w:r>
              <w:rPr>
                <w:b/>
                <w:sz w:val="16"/>
                <w:szCs w:val="16"/>
                <w:lang w:val="en-US"/>
              </w:rPr>
              <w:t>9.132.043</w:t>
            </w:r>
          </w:p>
        </w:tc>
        <w:tc>
          <w:tcPr>
            <w:tcW w:w="8647" w:type="dxa"/>
            <w:gridSpan w:val="2"/>
            <w:tcBorders>
              <w:bottom w:val="single" w:sz="4" w:space="0" w:color="auto"/>
            </w:tcBorders>
            <w:vAlign w:val="center"/>
          </w:tcPr>
          <w:p w:rsidR="00DB44C4" w:rsidRPr="00312977" w:rsidRDefault="00DB44C4" w:rsidP="00DB44C4">
            <w:pPr>
              <w:ind w:right="-108"/>
              <w:jc w:val="right"/>
              <w:rPr>
                <w:b/>
                <w:sz w:val="16"/>
                <w:szCs w:val="16"/>
              </w:rPr>
            </w:pPr>
          </w:p>
        </w:tc>
      </w:tr>
    </w:tbl>
    <w:p w:rsidR="008E3A07" w:rsidRPr="000E0705" w:rsidRDefault="008E3A07" w:rsidP="0014634F"/>
    <w:sectPr w:rsidR="008E3A07" w:rsidRPr="000E0705" w:rsidSect="009E6F5C">
      <w:pgSz w:w="23814" w:h="16839" w:orient="landscape" w:code="8"/>
      <w:pgMar w:top="851" w:right="82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altName w:val="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1FB3"/>
    <w:multiLevelType w:val="hybridMultilevel"/>
    <w:tmpl w:val="C14E664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76"/>
    <w:rsid w:val="000061C0"/>
    <w:rsid w:val="0001326B"/>
    <w:rsid w:val="00014859"/>
    <w:rsid w:val="0001509E"/>
    <w:rsid w:val="0003629A"/>
    <w:rsid w:val="00036591"/>
    <w:rsid w:val="000463A8"/>
    <w:rsid w:val="00060319"/>
    <w:rsid w:val="00070319"/>
    <w:rsid w:val="00085F79"/>
    <w:rsid w:val="000921EE"/>
    <w:rsid w:val="000A314F"/>
    <w:rsid w:val="000B7FF8"/>
    <w:rsid w:val="000C1EF7"/>
    <w:rsid w:val="000E0705"/>
    <w:rsid w:val="00105006"/>
    <w:rsid w:val="0011698B"/>
    <w:rsid w:val="0014293E"/>
    <w:rsid w:val="0014634F"/>
    <w:rsid w:val="001A1C5E"/>
    <w:rsid w:val="001A69FA"/>
    <w:rsid w:val="001F37CD"/>
    <w:rsid w:val="0020094B"/>
    <w:rsid w:val="002055A6"/>
    <w:rsid w:val="00206DB6"/>
    <w:rsid w:val="0024504B"/>
    <w:rsid w:val="0027258B"/>
    <w:rsid w:val="00272DAC"/>
    <w:rsid w:val="00290B11"/>
    <w:rsid w:val="002F017D"/>
    <w:rsid w:val="00312977"/>
    <w:rsid w:val="00383E92"/>
    <w:rsid w:val="003E0492"/>
    <w:rsid w:val="003E2344"/>
    <w:rsid w:val="003F0A38"/>
    <w:rsid w:val="00472CE9"/>
    <w:rsid w:val="00473F3E"/>
    <w:rsid w:val="0048507D"/>
    <w:rsid w:val="004979A8"/>
    <w:rsid w:val="004D1E8D"/>
    <w:rsid w:val="00506456"/>
    <w:rsid w:val="00517EE4"/>
    <w:rsid w:val="00532269"/>
    <w:rsid w:val="0055493B"/>
    <w:rsid w:val="00557B77"/>
    <w:rsid w:val="005B6802"/>
    <w:rsid w:val="005D598E"/>
    <w:rsid w:val="005E06AF"/>
    <w:rsid w:val="005E416F"/>
    <w:rsid w:val="005F0EA2"/>
    <w:rsid w:val="00603309"/>
    <w:rsid w:val="00625E19"/>
    <w:rsid w:val="0068504F"/>
    <w:rsid w:val="006915CD"/>
    <w:rsid w:val="006B7DD5"/>
    <w:rsid w:val="007042B1"/>
    <w:rsid w:val="00785EBA"/>
    <w:rsid w:val="008213AD"/>
    <w:rsid w:val="008E3A07"/>
    <w:rsid w:val="008F3AEC"/>
    <w:rsid w:val="008F71BD"/>
    <w:rsid w:val="00947DA9"/>
    <w:rsid w:val="00965D52"/>
    <w:rsid w:val="009B6EEE"/>
    <w:rsid w:val="009E6F5C"/>
    <w:rsid w:val="009F2103"/>
    <w:rsid w:val="00A020B8"/>
    <w:rsid w:val="00A36DEB"/>
    <w:rsid w:val="00A543D4"/>
    <w:rsid w:val="00A9009B"/>
    <w:rsid w:val="00AB58B1"/>
    <w:rsid w:val="00AF64D8"/>
    <w:rsid w:val="00B00A76"/>
    <w:rsid w:val="00B24281"/>
    <w:rsid w:val="00B83D91"/>
    <w:rsid w:val="00B9618A"/>
    <w:rsid w:val="00BB6893"/>
    <w:rsid w:val="00C030B5"/>
    <w:rsid w:val="00C2001B"/>
    <w:rsid w:val="00C206FE"/>
    <w:rsid w:val="00C446F5"/>
    <w:rsid w:val="00C8161F"/>
    <w:rsid w:val="00CA4258"/>
    <w:rsid w:val="00CB03F5"/>
    <w:rsid w:val="00CB469A"/>
    <w:rsid w:val="00CC6B20"/>
    <w:rsid w:val="00D03203"/>
    <w:rsid w:val="00D05DA8"/>
    <w:rsid w:val="00D368F8"/>
    <w:rsid w:val="00D6708A"/>
    <w:rsid w:val="00D67932"/>
    <w:rsid w:val="00D816BD"/>
    <w:rsid w:val="00DB44C4"/>
    <w:rsid w:val="00DC0FE6"/>
    <w:rsid w:val="00DD32B5"/>
    <w:rsid w:val="00DF4711"/>
    <w:rsid w:val="00E043A8"/>
    <w:rsid w:val="00E052BF"/>
    <w:rsid w:val="00E31DB9"/>
    <w:rsid w:val="00E66BA0"/>
    <w:rsid w:val="00E84113"/>
    <w:rsid w:val="00E9339B"/>
    <w:rsid w:val="00E96B29"/>
    <w:rsid w:val="00E96F6A"/>
    <w:rsid w:val="00EA06CB"/>
    <w:rsid w:val="00EB6491"/>
    <w:rsid w:val="00EC2977"/>
    <w:rsid w:val="00F20664"/>
    <w:rsid w:val="00F33A52"/>
    <w:rsid w:val="00F36B4F"/>
    <w:rsid w:val="00F5647B"/>
    <w:rsid w:val="00F70326"/>
    <w:rsid w:val="00F72962"/>
    <w:rsid w:val="00F749D7"/>
    <w:rsid w:val="00F85F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D0320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03203"/>
    <w:rPr>
      <w:rFonts w:ascii="Tahoma" w:hAnsi="Tahoma" w:cs="Tahoma"/>
      <w:sz w:val="16"/>
      <w:szCs w:val="16"/>
    </w:rPr>
  </w:style>
  <w:style w:type="paragraph" w:styleId="a5">
    <w:name w:val="List Paragraph"/>
    <w:basedOn w:val="a"/>
    <w:uiPriority w:val="34"/>
    <w:qFormat/>
    <w:rsid w:val="008213AD"/>
    <w:pPr>
      <w:ind w:left="720"/>
      <w:contextualSpacing/>
    </w:pPr>
  </w:style>
  <w:style w:type="paragraph" w:customStyle="1" w:styleId="Default">
    <w:name w:val="Default"/>
    <w:rsid w:val="00290B11"/>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D0320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03203"/>
    <w:rPr>
      <w:rFonts w:ascii="Tahoma" w:hAnsi="Tahoma" w:cs="Tahoma"/>
      <w:sz w:val="16"/>
      <w:szCs w:val="16"/>
    </w:rPr>
  </w:style>
  <w:style w:type="paragraph" w:styleId="a5">
    <w:name w:val="List Paragraph"/>
    <w:basedOn w:val="a"/>
    <w:uiPriority w:val="34"/>
    <w:qFormat/>
    <w:rsid w:val="008213AD"/>
    <w:pPr>
      <w:ind w:left="720"/>
      <w:contextualSpacing/>
    </w:pPr>
  </w:style>
  <w:style w:type="paragraph" w:customStyle="1" w:styleId="Default">
    <w:name w:val="Default"/>
    <w:rsid w:val="00290B1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93796">
      <w:bodyDiv w:val="1"/>
      <w:marLeft w:val="0"/>
      <w:marRight w:val="0"/>
      <w:marTop w:val="0"/>
      <w:marBottom w:val="0"/>
      <w:divBdr>
        <w:top w:val="none" w:sz="0" w:space="0" w:color="auto"/>
        <w:left w:val="none" w:sz="0" w:space="0" w:color="auto"/>
        <w:bottom w:val="none" w:sz="0" w:space="0" w:color="auto"/>
        <w:right w:val="none" w:sz="0" w:space="0" w:color="auto"/>
      </w:divBdr>
      <w:divsChild>
        <w:div w:id="668216197">
          <w:marLeft w:val="-90"/>
          <w:marRight w:val="-90"/>
          <w:marTop w:val="45"/>
          <w:marBottom w:val="45"/>
          <w:divBdr>
            <w:top w:val="none" w:sz="0" w:space="0" w:color="auto"/>
            <w:left w:val="none" w:sz="0" w:space="0" w:color="auto"/>
            <w:bottom w:val="none" w:sz="0" w:space="0" w:color="auto"/>
            <w:right w:val="none" w:sz="0" w:space="0" w:color="auto"/>
          </w:divBdr>
          <w:divsChild>
            <w:div w:id="402995185">
              <w:marLeft w:val="0"/>
              <w:marRight w:val="0"/>
              <w:marTop w:val="0"/>
              <w:marBottom w:val="0"/>
              <w:divBdr>
                <w:top w:val="none" w:sz="0" w:space="0" w:color="auto"/>
                <w:left w:val="none" w:sz="0" w:space="0" w:color="auto"/>
                <w:bottom w:val="none" w:sz="0" w:space="0" w:color="auto"/>
                <w:right w:val="none" w:sz="0" w:space="0" w:color="auto"/>
              </w:divBdr>
            </w:div>
          </w:divsChild>
        </w:div>
        <w:div w:id="1276215178">
          <w:marLeft w:val="-90"/>
          <w:marRight w:val="-90"/>
          <w:marTop w:val="45"/>
          <w:marBottom w:val="45"/>
          <w:divBdr>
            <w:top w:val="none" w:sz="0" w:space="0" w:color="auto"/>
            <w:left w:val="none" w:sz="0" w:space="0" w:color="auto"/>
            <w:bottom w:val="none" w:sz="0" w:space="0" w:color="auto"/>
            <w:right w:val="none" w:sz="0" w:space="0" w:color="auto"/>
          </w:divBdr>
          <w:divsChild>
            <w:div w:id="389349838">
              <w:marLeft w:val="0"/>
              <w:marRight w:val="0"/>
              <w:marTop w:val="0"/>
              <w:marBottom w:val="0"/>
              <w:divBdr>
                <w:top w:val="none" w:sz="0" w:space="0" w:color="auto"/>
                <w:left w:val="none" w:sz="0" w:space="0" w:color="auto"/>
                <w:bottom w:val="none" w:sz="0" w:space="0" w:color="auto"/>
                <w:right w:val="none" w:sz="0" w:space="0" w:color="auto"/>
              </w:divBdr>
            </w:div>
          </w:divsChild>
        </w:div>
        <w:div w:id="576522906">
          <w:marLeft w:val="-90"/>
          <w:marRight w:val="-90"/>
          <w:marTop w:val="45"/>
          <w:marBottom w:val="45"/>
          <w:divBdr>
            <w:top w:val="none" w:sz="0" w:space="0" w:color="auto"/>
            <w:left w:val="none" w:sz="0" w:space="0" w:color="auto"/>
            <w:bottom w:val="none" w:sz="0" w:space="0" w:color="auto"/>
            <w:right w:val="none" w:sz="0" w:space="0" w:color="auto"/>
          </w:divBdr>
          <w:divsChild>
            <w:div w:id="89934751">
              <w:marLeft w:val="0"/>
              <w:marRight w:val="0"/>
              <w:marTop w:val="0"/>
              <w:marBottom w:val="0"/>
              <w:divBdr>
                <w:top w:val="none" w:sz="0" w:space="0" w:color="auto"/>
                <w:left w:val="none" w:sz="0" w:space="0" w:color="auto"/>
                <w:bottom w:val="none" w:sz="0" w:space="0" w:color="auto"/>
                <w:right w:val="none" w:sz="0" w:space="0" w:color="auto"/>
              </w:divBdr>
            </w:div>
          </w:divsChild>
        </w:div>
        <w:div w:id="1602182680">
          <w:marLeft w:val="-90"/>
          <w:marRight w:val="-90"/>
          <w:marTop w:val="45"/>
          <w:marBottom w:val="45"/>
          <w:divBdr>
            <w:top w:val="none" w:sz="0" w:space="0" w:color="auto"/>
            <w:left w:val="none" w:sz="0" w:space="0" w:color="auto"/>
            <w:bottom w:val="none" w:sz="0" w:space="0" w:color="auto"/>
            <w:right w:val="none" w:sz="0" w:space="0" w:color="auto"/>
          </w:divBdr>
          <w:divsChild>
            <w:div w:id="1153569055">
              <w:marLeft w:val="0"/>
              <w:marRight w:val="0"/>
              <w:marTop w:val="0"/>
              <w:marBottom w:val="0"/>
              <w:divBdr>
                <w:top w:val="none" w:sz="0" w:space="0" w:color="auto"/>
                <w:left w:val="none" w:sz="0" w:space="0" w:color="auto"/>
                <w:bottom w:val="none" w:sz="0" w:space="0" w:color="auto"/>
                <w:right w:val="none" w:sz="0" w:space="0" w:color="auto"/>
              </w:divBdr>
            </w:div>
          </w:divsChild>
        </w:div>
        <w:div w:id="1018697333">
          <w:marLeft w:val="-90"/>
          <w:marRight w:val="-90"/>
          <w:marTop w:val="45"/>
          <w:marBottom w:val="45"/>
          <w:divBdr>
            <w:top w:val="none" w:sz="0" w:space="0" w:color="auto"/>
            <w:left w:val="none" w:sz="0" w:space="0" w:color="auto"/>
            <w:bottom w:val="none" w:sz="0" w:space="0" w:color="auto"/>
            <w:right w:val="none" w:sz="0" w:space="0" w:color="auto"/>
          </w:divBdr>
          <w:divsChild>
            <w:div w:id="17107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6109A-65B7-4FE1-B215-002F0E5B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716</Words>
  <Characters>3867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Αντωνόπουλος, Αλέξανδρος</dc:creator>
  <cp:lastModifiedBy>Σασσάνη, Πόπη</cp:lastModifiedBy>
  <cp:revision>8</cp:revision>
  <cp:lastPrinted>2017-06-26T09:11:00Z</cp:lastPrinted>
  <dcterms:created xsi:type="dcterms:W3CDTF">2017-06-26T08:26:00Z</dcterms:created>
  <dcterms:modified xsi:type="dcterms:W3CDTF">2017-06-26T09:19:00Z</dcterms:modified>
</cp:coreProperties>
</file>