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8A" w:rsidRPr="00EA77FC" w:rsidRDefault="00A7308A" w:rsidP="001E247E">
      <w:pPr>
        <w:spacing w:before="120" w:after="120" w:line="360" w:lineRule="auto"/>
        <w:jc w:val="center"/>
        <w:rPr>
          <w:rFonts w:ascii="Arial" w:hAnsi="Arial" w:cs="Arial"/>
          <w:b/>
        </w:rPr>
      </w:pPr>
      <w:r w:rsidRPr="00EA77FC">
        <w:rPr>
          <w:rFonts w:ascii="Arial" w:hAnsi="Arial" w:cs="Arial"/>
          <w:b/>
        </w:rPr>
        <w:t>ΔΕΛΤΙΟ ΤΥΠΟΥ</w:t>
      </w:r>
    </w:p>
    <w:p w:rsidR="00A7308A" w:rsidRPr="00EA77FC" w:rsidRDefault="003E6E5C" w:rsidP="001E247E">
      <w:pPr>
        <w:spacing w:before="120" w:after="120" w:line="360" w:lineRule="auto"/>
        <w:jc w:val="right"/>
        <w:rPr>
          <w:rFonts w:ascii="Arial" w:hAnsi="Arial" w:cs="Arial"/>
          <w:sz w:val="20"/>
          <w:szCs w:val="20"/>
          <w:lang w:val="en-GB"/>
        </w:rPr>
      </w:pPr>
      <w:r>
        <w:rPr>
          <w:rFonts w:ascii="Arial" w:hAnsi="Arial" w:cs="Arial"/>
          <w:sz w:val="20"/>
          <w:szCs w:val="20"/>
          <w:lang w:val="en-US"/>
        </w:rPr>
        <w:t>25</w:t>
      </w:r>
      <w:r w:rsidR="00837475" w:rsidRPr="00EA77FC">
        <w:rPr>
          <w:rFonts w:ascii="Arial" w:hAnsi="Arial" w:cs="Arial"/>
          <w:sz w:val="20"/>
          <w:szCs w:val="20"/>
        </w:rPr>
        <w:t xml:space="preserve"> </w:t>
      </w:r>
      <w:r>
        <w:rPr>
          <w:rFonts w:ascii="Arial" w:hAnsi="Arial" w:cs="Arial"/>
          <w:sz w:val="20"/>
          <w:szCs w:val="20"/>
        </w:rPr>
        <w:t>Αυγούστου</w:t>
      </w:r>
      <w:r w:rsidR="00837475" w:rsidRPr="00EA77FC">
        <w:rPr>
          <w:rFonts w:ascii="Arial" w:hAnsi="Arial" w:cs="Arial"/>
          <w:sz w:val="20"/>
          <w:szCs w:val="20"/>
        </w:rPr>
        <w:t xml:space="preserve"> 201</w:t>
      </w:r>
      <w:r w:rsidR="00B37241" w:rsidRPr="00EA77FC">
        <w:rPr>
          <w:rFonts w:ascii="Arial" w:hAnsi="Arial" w:cs="Arial"/>
          <w:sz w:val="20"/>
          <w:szCs w:val="20"/>
          <w:lang w:val="en-GB"/>
        </w:rPr>
        <w:t>6</w:t>
      </w:r>
    </w:p>
    <w:p w:rsidR="00A7308A" w:rsidRPr="00EA77FC" w:rsidRDefault="00A7308A" w:rsidP="001E247E">
      <w:pPr>
        <w:spacing w:before="120" w:after="120" w:line="360" w:lineRule="auto"/>
        <w:jc w:val="center"/>
        <w:rPr>
          <w:rFonts w:ascii="Arial" w:hAnsi="Arial" w:cs="Arial"/>
          <w:sz w:val="20"/>
        </w:rPr>
      </w:pPr>
    </w:p>
    <w:tbl>
      <w:tblPr>
        <w:tblW w:w="0" w:type="auto"/>
        <w:jc w:val="center"/>
        <w:shd w:val="clear" w:color="auto" w:fill="CCCCCC"/>
        <w:tblLook w:val="01E0" w:firstRow="1" w:lastRow="1" w:firstColumn="1" w:lastColumn="1" w:noHBand="0" w:noVBand="0"/>
      </w:tblPr>
      <w:tblGrid>
        <w:gridCol w:w="8528"/>
      </w:tblGrid>
      <w:tr w:rsidR="00A7308A" w:rsidRPr="00EA77FC" w:rsidTr="000F0BD8">
        <w:trPr>
          <w:trHeight w:val="401"/>
          <w:jc w:val="center"/>
        </w:trPr>
        <w:tc>
          <w:tcPr>
            <w:tcW w:w="8528" w:type="dxa"/>
            <w:shd w:val="clear" w:color="auto" w:fill="CCCCCC"/>
            <w:vAlign w:val="center"/>
          </w:tcPr>
          <w:p w:rsidR="00A7308A" w:rsidRPr="00EA77FC" w:rsidRDefault="00A7308A" w:rsidP="003E6E5C">
            <w:pPr>
              <w:spacing w:before="120" w:after="120" w:line="360" w:lineRule="auto"/>
              <w:jc w:val="center"/>
              <w:rPr>
                <w:rFonts w:ascii="Arial" w:hAnsi="Arial" w:cs="Arial"/>
                <w:b/>
                <w:sz w:val="22"/>
                <w:szCs w:val="22"/>
              </w:rPr>
            </w:pPr>
            <w:r w:rsidRPr="00EA77FC">
              <w:rPr>
                <w:rFonts w:ascii="Arial" w:hAnsi="Arial" w:cs="Arial"/>
                <w:b/>
                <w:sz w:val="22"/>
                <w:szCs w:val="22"/>
              </w:rPr>
              <w:t xml:space="preserve">Αποτελέσματα </w:t>
            </w:r>
            <w:r w:rsidR="003E6E5C">
              <w:rPr>
                <w:rFonts w:ascii="Arial" w:hAnsi="Arial" w:cs="Arial"/>
                <w:b/>
                <w:sz w:val="22"/>
                <w:szCs w:val="22"/>
              </w:rPr>
              <w:t>Β</w:t>
            </w:r>
            <w:r w:rsidRPr="00EA77FC">
              <w:rPr>
                <w:rFonts w:ascii="Arial" w:hAnsi="Arial" w:cs="Arial"/>
                <w:b/>
                <w:sz w:val="22"/>
                <w:szCs w:val="22"/>
              </w:rPr>
              <w:t xml:space="preserve">’ </w:t>
            </w:r>
            <w:r w:rsidR="002112BF" w:rsidRPr="00EA77FC">
              <w:rPr>
                <w:rFonts w:ascii="Arial" w:hAnsi="Arial" w:cs="Arial"/>
                <w:b/>
                <w:sz w:val="22"/>
                <w:szCs w:val="22"/>
              </w:rPr>
              <w:t>Τ</w:t>
            </w:r>
            <w:r w:rsidRPr="00EA77FC">
              <w:rPr>
                <w:rFonts w:ascii="Arial" w:hAnsi="Arial" w:cs="Arial"/>
                <w:b/>
                <w:sz w:val="22"/>
                <w:szCs w:val="22"/>
              </w:rPr>
              <w:t>ριμήνου</w:t>
            </w:r>
            <w:r w:rsidR="00697AAC" w:rsidRPr="00697AAC">
              <w:rPr>
                <w:rFonts w:ascii="Arial" w:hAnsi="Arial" w:cs="Arial"/>
                <w:b/>
                <w:sz w:val="22"/>
                <w:szCs w:val="22"/>
              </w:rPr>
              <w:t xml:space="preserve"> / Α’ Εξαμήνου</w:t>
            </w:r>
            <w:r w:rsidR="00857609" w:rsidRPr="00697AAC">
              <w:rPr>
                <w:rFonts w:ascii="Arial" w:hAnsi="Arial" w:cs="Arial"/>
                <w:b/>
                <w:sz w:val="22"/>
                <w:szCs w:val="22"/>
              </w:rPr>
              <w:t xml:space="preserve"> </w:t>
            </w:r>
            <w:r w:rsidR="00BC190A" w:rsidRPr="00697AAC">
              <w:rPr>
                <w:rFonts w:ascii="Arial" w:hAnsi="Arial" w:cs="Arial"/>
                <w:b/>
                <w:sz w:val="22"/>
                <w:szCs w:val="22"/>
              </w:rPr>
              <w:t>2016</w:t>
            </w:r>
          </w:p>
        </w:tc>
      </w:tr>
    </w:tbl>
    <w:p w:rsidR="00A7308A" w:rsidRPr="00EA77FC" w:rsidRDefault="00A7308A" w:rsidP="001E247E">
      <w:pPr>
        <w:spacing w:before="120" w:after="120" w:line="360" w:lineRule="auto"/>
        <w:jc w:val="both"/>
        <w:rPr>
          <w:rFonts w:ascii="Arial" w:hAnsi="Arial" w:cs="Arial"/>
          <w:sz w:val="14"/>
          <w:highlight w:val="yellow"/>
        </w:rPr>
      </w:pPr>
    </w:p>
    <w:tbl>
      <w:tblPr>
        <w:tblW w:w="0" w:type="auto"/>
        <w:jc w:val="center"/>
        <w:tblLook w:val="01E0" w:firstRow="1" w:lastRow="1" w:firstColumn="1" w:lastColumn="1" w:noHBand="0" w:noVBand="0"/>
      </w:tblPr>
      <w:tblGrid>
        <w:gridCol w:w="8528"/>
      </w:tblGrid>
      <w:tr w:rsidR="00A7308A" w:rsidRPr="00EA77FC" w:rsidTr="000F0BD8">
        <w:trPr>
          <w:jc w:val="center"/>
        </w:trPr>
        <w:tc>
          <w:tcPr>
            <w:tcW w:w="8528" w:type="dxa"/>
            <w:shd w:val="clear" w:color="auto" w:fill="auto"/>
            <w:vAlign w:val="center"/>
          </w:tcPr>
          <w:p w:rsidR="00A7308A" w:rsidRPr="00FF1896" w:rsidRDefault="003E6E5C" w:rsidP="00EE1190">
            <w:pPr>
              <w:spacing w:before="120" w:after="120" w:line="276" w:lineRule="auto"/>
              <w:jc w:val="center"/>
              <w:rPr>
                <w:rFonts w:ascii="Arial" w:hAnsi="Arial" w:cs="Arial"/>
                <w:b/>
                <w:i/>
                <w:sz w:val="22"/>
                <w:szCs w:val="22"/>
                <w:u w:val="single"/>
              </w:rPr>
            </w:pPr>
            <w:r>
              <w:rPr>
                <w:rFonts w:ascii="Arial" w:hAnsi="Arial" w:cs="Arial"/>
                <w:b/>
                <w:i/>
                <w:sz w:val="22"/>
                <w:szCs w:val="22"/>
                <w:u w:val="single"/>
              </w:rPr>
              <w:t>Βελτ</w:t>
            </w:r>
            <w:r w:rsidR="00EE1190">
              <w:rPr>
                <w:rFonts w:ascii="Arial" w:hAnsi="Arial" w:cs="Arial"/>
                <w:b/>
                <w:i/>
                <w:sz w:val="22"/>
                <w:szCs w:val="22"/>
                <w:u w:val="single"/>
              </w:rPr>
              <w:t>ίωση στα</w:t>
            </w:r>
            <w:r>
              <w:rPr>
                <w:rFonts w:ascii="Arial" w:hAnsi="Arial" w:cs="Arial"/>
                <w:b/>
                <w:i/>
                <w:sz w:val="22"/>
                <w:szCs w:val="22"/>
                <w:u w:val="single"/>
              </w:rPr>
              <w:t xml:space="preserve"> </w:t>
            </w:r>
            <w:r w:rsidR="00857609" w:rsidRPr="006951A1">
              <w:rPr>
                <w:rFonts w:ascii="Arial" w:hAnsi="Arial" w:cs="Arial"/>
                <w:b/>
                <w:i/>
                <w:sz w:val="22"/>
                <w:szCs w:val="22"/>
                <w:u w:val="single"/>
              </w:rPr>
              <w:t xml:space="preserve">αποτελέσματα </w:t>
            </w:r>
            <w:r w:rsidR="005C0503">
              <w:rPr>
                <w:rFonts w:ascii="Arial" w:hAnsi="Arial" w:cs="Arial"/>
                <w:b/>
                <w:i/>
                <w:sz w:val="22"/>
                <w:szCs w:val="22"/>
                <w:u w:val="single"/>
              </w:rPr>
              <w:t>λόγω</w:t>
            </w:r>
            <w:r>
              <w:rPr>
                <w:rFonts w:ascii="Arial" w:hAnsi="Arial" w:cs="Arial"/>
                <w:b/>
                <w:i/>
                <w:sz w:val="22"/>
                <w:szCs w:val="22"/>
                <w:u w:val="single"/>
              </w:rPr>
              <w:t xml:space="preserve"> </w:t>
            </w:r>
            <w:r w:rsidR="00EE1190">
              <w:rPr>
                <w:rFonts w:ascii="Arial" w:hAnsi="Arial" w:cs="Arial"/>
                <w:b/>
                <w:i/>
                <w:sz w:val="22"/>
                <w:szCs w:val="22"/>
                <w:u w:val="single"/>
              </w:rPr>
              <w:t xml:space="preserve">αυξημένης </w:t>
            </w:r>
            <w:r>
              <w:rPr>
                <w:rFonts w:ascii="Arial" w:hAnsi="Arial" w:cs="Arial"/>
                <w:b/>
                <w:i/>
                <w:sz w:val="22"/>
                <w:szCs w:val="22"/>
                <w:u w:val="single"/>
              </w:rPr>
              <w:t>παραγωγής</w:t>
            </w:r>
            <w:r w:rsidR="006F61B6" w:rsidRPr="006F61B6">
              <w:rPr>
                <w:rFonts w:ascii="Arial" w:hAnsi="Arial" w:cs="Arial"/>
                <w:b/>
                <w:i/>
                <w:sz w:val="22"/>
                <w:szCs w:val="22"/>
                <w:u w:val="single"/>
              </w:rPr>
              <w:t xml:space="preserve">, </w:t>
            </w:r>
            <w:r w:rsidR="006F61B6">
              <w:rPr>
                <w:rFonts w:ascii="Arial" w:hAnsi="Arial" w:cs="Arial"/>
                <w:b/>
                <w:i/>
                <w:sz w:val="22"/>
                <w:szCs w:val="22"/>
                <w:u w:val="single"/>
              </w:rPr>
              <w:t>παραγωγικότητας</w:t>
            </w:r>
            <w:r>
              <w:rPr>
                <w:rFonts w:ascii="Arial" w:hAnsi="Arial" w:cs="Arial"/>
                <w:b/>
                <w:i/>
                <w:sz w:val="22"/>
                <w:szCs w:val="22"/>
                <w:u w:val="single"/>
              </w:rPr>
              <w:t xml:space="preserve"> και πωλήσεων, παρά την </w:t>
            </w:r>
            <w:r w:rsidR="00C55453">
              <w:rPr>
                <w:rFonts w:ascii="Arial" w:hAnsi="Arial" w:cs="Arial"/>
                <w:b/>
                <w:i/>
                <w:sz w:val="22"/>
                <w:szCs w:val="22"/>
                <w:u w:val="single"/>
              </w:rPr>
              <w:t>υποχώρηση</w:t>
            </w:r>
            <w:r>
              <w:rPr>
                <w:rFonts w:ascii="Arial" w:hAnsi="Arial" w:cs="Arial"/>
                <w:b/>
                <w:i/>
                <w:sz w:val="22"/>
                <w:szCs w:val="22"/>
                <w:u w:val="single"/>
              </w:rPr>
              <w:t xml:space="preserve"> των διεθνών περιθωρίων διύλισης</w:t>
            </w:r>
            <w:r w:rsidR="005C0503">
              <w:rPr>
                <w:rFonts w:ascii="Arial" w:hAnsi="Arial" w:cs="Arial"/>
                <w:b/>
                <w:i/>
                <w:sz w:val="22"/>
                <w:szCs w:val="22"/>
                <w:u w:val="single"/>
              </w:rPr>
              <w:t xml:space="preserve"> </w:t>
            </w:r>
          </w:p>
        </w:tc>
      </w:tr>
    </w:tbl>
    <w:p w:rsidR="009F5A1F" w:rsidRPr="00D16E38" w:rsidRDefault="009F5A1F" w:rsidP="0079627C">
      <w:pPr>
        <w:spacing w:before="120" w:after="120" w:line="360" w:lineRule="auto"/>
        <w:jc w:val="both"/>
        <w:rPr>
          <w:rFonts w:ascii="Arial" w:hAnsi="Arial" w:cs="Arial"/>
          <w:b/>
          <w:sz w:val="20"/>
          <w:szCs w:val="20"/>
        </w:rPr>
      </w:pPr>
    </w:p>
    <w:p w:rsidR="00252FC8" w:rsidRPr="00EB5787" w:rsidRDefault="006F61B6" w:rsidP="0079627C">
      <w:pPr>
        <w:spacing w:before="120" w:after="120" w:line="360" w:lineRule="auto"/>
        <w:jc w:val="both"/>
        <w:rPr>
          <w:rFonts w:ascii="Arial" w:hAnsi="Arial" w:cs="Arial"/>
          <w:b/>
          <w:sz w:val="20"/>
          <w:szCs w:val="20"/>
        </w:rPr>
      </w:pPr>
      <w:r w:rsidRPr="00EB5787">
        <w:rPr>
          <w:rFonts w:ascii="Arial" w:hAnsi="Arial" w:cs="Arial"/>
          <w:b/>
          <w:sz w:val="20"/>
          <w:szCs w:val="20"/>
        </w:rPr>
        <w:t>Σημαντική αύξηση καθαρών κερδών</w:t>
      </w:r>
    </w:p>
    <w:p w:rsidR="006F61B6" w:rsidRDefault="006F61B6" w:rsidP="0079627C">
      <w:pPr>
        <w:spacing w:before="120" w:after="120" w:line="360" w:lineRule="auto"/>
        <w:jc w:val="both"/>
        <w:rPr>
          <w:rFonts w:ascii="Arial" w:hAnsi="Arial" w:cs="Arial"/>
          <w:sz w:val="20"/>
          <w:szCs w:val="20"/>
        </w:rPr>
      </w:pPr>
      <w:r>
        <w:rPr>
          <w:rFonts w:ascii="Arial" w:hAnsi="Arial" w:cs="Arial"/>
          <w:sz w:val="20"/>
          <w:szCs w:val="20"/>
        </w:rPr>
        <w:t>Τα</w:t>
      </w:r>
      <w:r w:rsidRPr="00FF1896">
        <w:rPr>
          <w:rFonts w:ascii="Arial" w:hAnsi="Arial" w:cs="Arial"/>
          <w:sz w:val="20"/>
          <w:szCs w:val="20"/>
        </w:rPr>
        <w:t xml:space="preserve"> Συγκρίσιμα Κέρδη </w:t>
      </w:r>
      <w:r w:rsidRPr="00FF1896">
        <w:rPr>
          <w:rFonts w:ascii="Arial" w:hAnsi="Arial" w:cs="Arial"/>
          <w:sz w:val="20"/>
          <w:szCs w:val="20"/>
          <w:lang w:val="en-GB"/>
        </w:rPr>
        <w:t>EBITDA</w:t>
      </w:r>
      <w:r>
        <w:rPr>
          <w:rFonts w:ascii="Arial" w:hAnsi="Arial" w:cs="Arial"/>
          <w:sz w:val="20"/>
          <w:szCs w:val="20"/>
        </w:rPr>
        <w:t xml:space="preserve"> του Ομίλου για το Β’ Τρίμηνο ανήλθαν στα</w:t>
      </w:r>
      <w:r w:rsidRPr="00FF1896">
        <w:rPr>
          <w:rFonts w:ascii="Arial" w:hAnsi="Arial" w:cs="Arial"/>
          <w:sz w:val="20"/>
          <w:szCs w:val="20"/>
        </w:rPr>
        <w:t xml:space="preserve"> €</w:t>
      </w:r>
      <w:r w:rsidRPr="00F84555">
        <w:rPr>
          <w:rFonts w:ascii="Arial" w:hAnsi="Arial" w:cs="Arial"/>
          <w:sz w:val="20"/>
          <w:szCs w:val="20"/>
        </w:rPr>
        <w:t>1</w:t>
      </w:r>
      <w:r>
        <w:rPr>
          <w:rFonts w:ascii="Arial" w:hAnsi="Arial" w:cs="Arial"/>
          <w:sz w:val="20"/>
          <w:szCs w:val="20"/>
        </w:rPr>
        <w:t>56</w:t>
      </w:r>
      <w:r w:rsidRPr="00FF1896">
        <w:rPr>
          <w:rFonts w:ascii="Arial" w:hAnsi="Arial" w:cs="Arial"/>
          <w:sz w:val="20"/>
          <w:szCs w:val="20"/>
        </w:rPr>
        <w:t xml:space="preserve"> εκατ.</w:t>
      </w:r>
      <w:r>
        <w:rPr>
          <w:rFonts w:ascii="Arial" w:hAnsi="Arial" w:cs="Arial"/>
          <w:sz w:val="20"/>
          <w:szCs w:val="20"/>
        </w:rPr>
        <w:t xml:space="preserve"> αυξημένα κατά 20% έναντι του </w:t>
      </w:r>
      <w:r w:rsidR="00E50977">
        <w:rPr>
          <w:rFonts w:ascii="Arial" w:hAnsi="Arial" w:cs="Arial"/>
          <w:sz w:val="20"/>
          <w:szCs w:val="20"/>
        </w:rPr>
        <w:t>Β</w:t>
      </w:r>
      <w:r>
        <w:rPr>
          <w:rFonts w:ascii="Arial" w:hAnsi="Arial" w:cs="Arial"/>
          <w:sz w:val="20"/>
          <w:szCs w:val="20"/>
        </w:rPr>
        <w:t>’ τριμήνου του 2015 (€130 εκατ.)</w:t>
      </w:r>
      <w:r w:rsidR="001F0EC7" w:rsidRPr="001F0EC7">
        <w:rPr>
          <w:rFonts w:ascii="Arial" w:hAnsi="Arial" w:cs="Arial"/>
          <w:sz w:val="20"/>
          <w:szCs w:val="20"/>
        </w:rPr>
        <w:t xml:space="preserve">, </w:t>
      </w:r>
      <w:r>
        <w:rPr>
          <w:rFonts w:ascii="Arial" w:hAnsi="Arial" w:cs="Arial"/>
          <w:sz w:val="20"/>
          <w:szCs w:val="20"/>
        </w:rPr>
        <w:t xml:space="preserve">διαμορφώνοντας τα </w:t>
      </w:r>
      <w:r w:rsidRPr="00285E1F">
        <w:rPr>
          <w:rFonts w:ascii="Arial" w:hAnsi="Arial" w:cs="Arial"/>
          <w:b/>
          <w:sz w:val="20"/>
          <w:szCs w:val="20"/>
        </w:rPr>
        <w:t xml:space="preserve">συγκρίσιμα κέρδη </w:t>
      </w:r>
      <w:r w:rsidRPr="00285E1F">
        <w:rPr>
          <w:rFonts w:ascii="Arial" w:hAnsi="Arial" w:cs="Arial"/>
          <w:b/>
          <w:sz w:val="20"/>
          <w:szCs w:val="20"/>
          <w:lang w:val="en-GB"/>
        </w:rPr>
        <w:t>EBITDA</w:t>
      </w:r>
      <w:r w:rsidR="00E50977" w:rsidRPr="00285E1F">
        <w:rPr>
          <w:rFonts w:ascii="Arial" w:hAnsi="Arial" w:cs="Arial"/>
          <w:b/>
          <w:sz w:val="20"/>
          <w:szCs w:val="20"/>
        </w:rPr>
        <w:t xml:space="preserve"> του Α</w:t>
      </w:r>
      <w:r w:rsidRPr="00285E1F">
        <w:rPr>
          <w:rFonts w:ascii="Arial" w:hAnsi="Arial" w:cs="Arial"/>
          <w:b/>
          <w:sz w:val="20"/>
          <w:szCs w:val="20"/>
        </w:rPr>
        <w:t xml:space="preserve"> ’εξαμήνου 2016 σε €326 εκατ.</w:t>
      </w:r>
      <w:r>
        <w:rPr>
          <w:rFonts w:ascii="Arial" w:hAnsi="Arial" w:cs="Arial"/>
          <w:sz w:val="20"/>
          <w:szCs w:val="20"/>
        </w:rPr>
        <w:t xml:space="preserve"> παρά τη σημαντική μείωση, σε σχέση με πέρυσι, αφ’</w:t>
      </w:r>
      <w:r w:rsidR="00E50977">
        <w:rPr>
          <w:rFonts w:ascii="Arial" w:hAnsi="Arial" w:cs="Arial"/>
          <w:sz w:val="20"/>
          <w:szCs w:val="20"/>
        </w:rPr>
        <w:t xml:space="preserve"> </w:t>
      </w:r>
      <w:r>
        <w:rPr>
          <w:rFonts w:ascii="Arial" w:hAnsi="Arial" w:cs="Arial"/>
          <w:sz w:val="20"/>
          <w:szCs w:val="20"/>
        </w:rPr>
        <w:t xml:space="preserve">ενός των περιθωρίων διύλισης Μεσογείου </w:t>
      </w:r>
      <w:r>
        <w:rPr>
          <w:rFonts w:ascii="Arial" w:hAnsi="Arial" w:cs="Arial"/>
          <w:sz w:val="20"/>
          <w:szCs w:val="20"/>
          <w:lang w:val="en-US"/>
        </w:rPr>
        <w:t>FCC</w:t>
      </w:r>
      <w:r w:rsidRPr="006F61B6">
        <w:rPr>
          <w:rFonts w:ascii="Arial" w:hAnsi="Arial" w:cs="Arial"/>
          <w:sz w:val="20"/>
          <w:szCs w:val="20"/>
        </w:rPr>
        <w:t xml:space="preserve"> </w:t>
      </w:r>
      <w:r>
        <w:rPr>
          <w:rFonts w:ascii="Arial" w:hAnsi="Arial" w:cs="Arial"/>
          <w:sz w:val="20"/>
          <w:szCs w:val="20"/>
        </w:rPr>
        <w:t xml:space="preserve">κατά 35% και των περιθωρίων </w:t>
      </w:r>
      <w:r>
        <w:rPr>
          <w:rFonts w:ascii="Arial" w:hAnsi="Arial" w:cs="Arial"/>
          <w:sz w:val="20"/>
          <w:szCs w:val="20"/>
          <w:lang w:val="en-US"/>
        </w:rPr>
        <w:t>Hydrocracking</w:t>
      </w:r>
      <w:r>
        <w:rPr>
          <w:rFonts w:ascii="Arial" w:hAnsi="Arial" w:cs="Arial"/>
          <w:sz w:val="20"/>
          <w:szCs w:val="20"/>
        </w:rPr>
        <w:t xml:space="preserve"> κατά 12%, αφετέρου δε της ζήτησης στην εγχώρια αγορά καυσίμων.</w:t>
      </w:r>
    </w:p>
    <w:p w:rsidR="00E50977" w:rsidRDefault="006F61B6" w:rsidP="0079627C">
      <w:pPr>
        <w:spacing w:before="120" w:after="120" w:line="360" w:lineRule="auto"/>
        <w:jc w:val="both"/>
        <w:rPr>
          <w:rFonts w:ascii="Arial" w:hAnsi="Arial" w:cs="Arial"/>
          <w:sz w:val="20"/>
          <w:szCs w:val="20"/>
        </w:rPr>
      </w:pPr>
      <w:r>
        <w:rPr>
          <w:rFonts w:ascii="Arial" w:hAnsi="Arial" w:cs="Arial"/>
          <w:sz w:val="20"/>
          <w:szCs w:val="20"/>
        </w:rPr>
        <w:t>Η αυξημένη σε σχέση με πέρυσι λειτουργική κερδοφορία των διυλιστηρίων λόγω της υψηλής διαθεσιμότητας των παραγωγικών μονάδων, της αύξησης της παραγωγής και της βελτίωσης της απόδοσης (</w:t>
      </w:r>
      <w:r>
        <w:rPr>
          <w:rFonts w:ascii="Arial" w:hAnsi="Arial" w:cs="Arial"/>
          <w:sz w:val="20"/>
          <w:szCs w:val="20"/>
          <w:lang w:val="en-US"/>
        </w:rPr>
        <w:t>over</w:t>
      </w:r>
      <w:r w:rsidRPr="006F61B6">
        <w:rPr>
          <w:rFonts w:ascii="Arial" w:hAnsi="Arial" w:cs="Arial"/>
          <w:sz w:val="20"/>
          <w:szCs w:val="20"/>
        </w:rPr>
        <w:t xml:space="preserve"> </w:t>
      </w:r>
      <w:r>
        <w:rPr>
          <w:rFonts w:ascii="Arial" w:hAnsi="Arial" w:cs="Arial"/>
          <w:sz w:val="20"/>
          <w:szCs w:val="20"/>
          <w:lang w:val="en-US"/>
        </w:rPr>
        <w:t>performance</w:t>
      </w:r>
      <w:r w:rsidRPr="006F61B6">
        <w:rPr>
          <w:rFonts w:ascii="Arial" w:hAnsi="Arial" w:cs="Arial"/>
          <w:sz w:val="20"/>
          <w:szCs w:val="20"/>
        </w:rPr>
        <w:t xml:space="preserve">), </w:t>
      </w:r>
      <w:r>
        <w:rPr>
          <w:rFonts w:ascii="Arial" w:hAnsi="Arial" w:cs="Arial"/>
          <w:sz w:val="20"/>
          <w:szCs w:val="20"/>
        </w:rPr>
        <w:t>οι αυξημένες πωλήσεις πετροχημικών, η αύξηση του μεριδίου στην εσωτερική αγορά πετρελαιοειδών</w:t>
      </w:r>
      <w:r w:rsidR="001F0EC7" w:rsidRPr="001F0EC7">
        <w:rPr>
          <w:rFonts w:ascii="Arial" w:hAnsi="Arial" w:cs="Arial"/>
          <w:sz w:val="20"/>
          <w:szCs w:val="20"/>
        </w:rPr>
        <w:t>,</w:t>
      </w:r>
      <w:r>
        <w:rPr>
          <w:rFonts w:ascii="Arial" w:hAnsi="Arial" w:cs="Arial"/>
          <w:sz w:val="20"/>
          <w:szCs w:val="20"/>
        </w:rPr>
        <w:t xml:space="preserve"> καθώς και των </w:t>
      </w:r>
      <w:r w:rsidR="00E50977">
        <w:rPr>
          <w:rFonts w:ascii="Arial" w:hAnsi="Arial" w:cs="Arial"/>
          <w:sz w:val="20"/>
          <w:szCs w:val="20"/>
        </w:rPr>
        <w:t>συνολικών όγκων πωλήσεων</w:t>
      </w:r>
      <w:r w:rsidR="001F0EC7" w:rsidRPr="001F0EC7">
        <w:rPr>
          <w:rFonts w:ascii="Arial" w:hAnsi="Arial" w:cs="Arial"/>
          <w:sz w:val="20"/>
          <w:szCs w:val="20"/>
        </w:rPr>
        <w:t>,</w:t>
      </w:r>
      <w:r w:rsidR="00E50977">
        <w:rPr>
          <w:rFonts w:ascii="Arial" w:hAnsi="Arial" w:cs="Arial"/>
          <w:sz w:val="20"/>
          <w:szCs w:val="20"/>
        </w:rPr>
        <w:t xml:space="preserve"> περιόρισαν αποφασιστικά τις αρνητικές επιπτώσεις της υποχώρησης των διεθνών περιθωρίων και της μείωσης της εγχώριας κατανάλωσης πετρελαιοειδών και διαμόρφωσαν κατά κύριο λόγο τα </w:t>
      </w:r>
      <w:r w:rsidR="00E50977" w:rsidRPr="00285E1F">
        <w:rPr>
          <w:rFonts w:ascii="Arial" w:hAnsi="Arial" w:cs="Arial"/>
          <w:b/>
          <w:sz w:val="20"/>
          <w:szCs w:val="20"/>
        </w:rPr>
        <w:t xml:space="preserve">συνολικά καθαρά κέρδη του Ομίλου </w:t>
      </w:r>
      <w:r w:rsidR="00285E1F">
        <w:rPr>
          <w:rFonts w:ascii="Arial" w:hAnsi="Arial" w:cs="Arial"/>
          <w:b/>
          <w:sz w:val="20"/>
          <w:szCs w:val="20"/>
        </w:rPr>
        <w:t xml:space="preserve">στο </w:t>
      </w:r>
      <w:r w:rsidR="00E50977" w:rsidRPr="00285E1F">
        <w:rPr>
          <w:rFonts w:ascii="Arial" w:hAnsi="Arial" w:cs="Arial"/>
          <w:b/>
          <w:sz w:val="20"/>
          <w:szCs w:val="20"/>
        </w:rPr>
        <w:t>Α’ εξάμηνο 2016</w:t>
      </w:r>
      <w:r w:rsidR="00E50977">
        <w:rPr>
          <w:rFonts w:ascii="Arial" w:hAnsi="Arial" w:cs="Arial"/>
          <w:sz w:val="20"/>
          <w:szCs w:val="20"/>
        </w:rPr>
        <w:t xml:space="preserve">, στο ύψος των </w:t>
      </w:r>
      <w:r w:rsidR="00E50977" w:rsidRPr="00285E1F">
        <w:rPr>
          <w:rFonts w:ascii="Arial" w:hAnsi="Arial" w:cs="Arial"/>
          <w:b/>
          <w:sz w:val="20"/>
          <w:szCs w:val="20"/>
        </w:rPr>
        <w:t>€104 εκατ.</w:t>
      </w:r>
      <w:r w:rsidR="00E50977">
        <w:rPr>
          <w:rFonts w:ascii="Arial" w:hAnsi="Arial" w:cs="Arial"/>
          <w:sz w:val="20"/>
          <w:szCs w:val="20"/>
        </w:rPr>
        <w:t xml:space="preserve"> αυξημένα κατά 57% έναντι του Α΄ εξαμήνου 2015, με </w:t>
      </w:r>
      <w:r w:rsidR="00E50977" w:rsidRPr="00285E1F">
        <w:rPr>
          <w:rFonts w:ascii="Arial" w:hAnsi="Arial" w:cs="Arial"/>
          <w:b/>
          <w:sz w:val="20"/>
          <w:szCs w:val="20"/>
        </w:rPr>
        <w:t>συγκρίσιμα καθαρά κέρδη στα €108 εκατ</w:t>
      </w:r>
      <w:r w:rsidR="00E50977">
        <w:rPr>
          <w:rFonts w:ascii="Arial" w:hAnsi="Arial" w:cs="Arial"/>
          <w:sz w:val="20"/>
          <w:szCs w:val="20"/>
        </w:rPr>
        <w:t>. ενδυναμώνοντας την καθαρή του θέση και του ισολογισμού.</w:t>
      </w:r>
    </w:p>
    <w:p w:rsidR="00C035C1" w:rsidRDefault="00EB5787" w:rsidP="0079627C">
      <w:pPr>
        <w:spacing w:before="120" w:after="120" w:line="360" w:lineRule="auto"/>
        <w:jc w:val="both"/>
        <w:rPr>
          <w:rFonts w:ascii="Arial" w:hAnsi="Arial" w:cs="Arial"/>
          <w:b/>
          <w:sz w:val="20"/>
          <w:szCs w:val="20"/>
        </w:rPr>
      </w:pPr>
      <w:r w:rsidRPr="00EB5787">
        <w:rPr>
          <w:rFonts w:ascii="Arial" w:hAnsi="Arial" w:cs="Arial"/>
          <w:b/>
          <w:sz w:val="20"/>
          <w:szCs w:val="20"/>
        </w:rPr>
        <w:t>Ιδιαίτερα σημαντική αύξηση των εξαγωγών</w:t>
      </w:r>
      <w:r w:rsidR="00285E1F">
        <w:rPr>
          <w:rFonts w:ascii="Arial" w:hAnsi="Arial" w:cs="Arial"/>
          <w:b/>
          <w:sz w:val="20"/>
          <w:szCs w:val="20"/>
        </w:rPr>
        <w:t>,</w:t>
      </w:r>
      <w:r w:rsidR="00285E1F" w:rsidRPr="00285E1F">
        <w:rPr>
          <w:rFonts w:ascii="Arial" w:hAnsi="Arial" w:cs="Arial"/>
          <w:b/>
          <w:sz w:val="20"/>
          <w:szCs w:val="20"/>
        </w:rPr>
        <w:t xml:space="preserve"> </w:t>
      </w:r>
      <w:r w:rsidR="00285E1F">
        <w:rPr>
          <w:rFonts w:ascii="Arial" w:hAnsi="Arial" w:cs="Arial"/>
          <w:b/>
          <w:sz w:val="20"/>
          <w:szCs w:val="20"/>
        </w:rPr>
        <w:t>διαφοροποίηση πηγών προμήθειας αργού,</w:t>
      </w:r>
      <w:r>
        <w:rPr>
          <w:rFonts w:ascii="Arial" w:hAnsi="Arial" w:cs="Arial"/>
          <w:b/>
          <w:sz w:val="20"/>
          <w:szCs w:val="20"/>
        </w:rPr>
        <w:t xml:space="preserve"> </w:t>
      </w:r>
      <w:r w:rsidR="00C035C1">
        <w:rPr>
          <w:rFonts w:ascii="Arial" w:hAnsi="Arial" w:cs="Arial"/>
          <w:b/>
          <w:sz w:val="20"/>
          <w:szCs w:val="20"/>
        </w:rPr>
        <w:t xml:space="preserve">νέες </w:t>
      </w:r>
      <w:r>
        <w:rPr>
          <w:rFonts w:ascii="Arial" w:hAnsi="Arial" w:cs="Arial"/>
          <w:b/>
          <w:sz w:val="20"/>
          <w:szCs w:val="20"/>
        </w:rPr>
        <w:t>συμφωνίες</w:t>
      </w:r>
    </w:p>
    <w:p w:rsidR="00EB5787" w:rsidRDefault="00EB5787" w:rsidP="0079627C">
      <w:pPr>
        <w:spacing w:before="120" w:after="120" w:line="360" w:lineRule="auto"/>
        <w:jc w:val="both"/>
        <w:rPr>
          <w:rFonts w:ascii="Arial" w:hAnsi="Arial" w:cs="Arial"/>
          <w:sz w:val="20"/>
          <w:szCs w:val="20"/>
        </w:rPr>
      </w:pPr>
      <w:r>
        <w:rPr>
          <w:rFonts w:ascii="Arial" w:hAnsi="Arial" w:cs="Arial"/>
          <w:sz w:val="20"/>
          <w:szCs w:val="20"/>
        </w:rPr>
        <w:t>Ο διπλασιασμός του όγκου των εξαγωγών το Β’ τρίμηνο 2016, σε σχέση με πέρυσι, (2</w:t>
      </w:r>
      <w:r w:rsidR="001F40F9">
        <w:rPr>
          <w:rFonts w:ascii="Arial" w:hAnsi="Arial" w:cs="Arial"/>
          <w:sz w:val="20"/>
          <w:szCs w:val="20"/>
        </w:rPr>
        <w:t>.</w:t>
      </w:r>
      <w:r>
        <w:rPr>
          <w:rFonts w:ascii="Arial" w:hAnsi="Arial" w:cs="Arial"/>
          <w:sz w:val="20"/>
          <w:szCs w:val="20"/>
        </w:rPr>
        <w:t>342 χιλ. Μ.Τ έναντι 1</w:t>
      </w:r>
      <w:r w:rsidR="001F40F9">
        <w:rPr>
          <w:rFonts w:ascii="Arial" w:hAnsi="Arial" w:cs="Arial"/>
          <w:sz w:val="20"/>
          <w:szCs w:val="20"/>
        </w:rPr>
        <w:t>.</w:t>
      </w:r>
      <w:r>
        <w:rPr>
          <w:rFonts w:ascii="Arial" w:hAnsi="Arial" w:cs="Arial"/>
          <w:sz w:val="20"/>
          <w:szCs w:val="20"/>
        </w:rPr>
        <w:t>113 χιλ. Μ.Τ)</w:t>
      </w:r>
      <w:r w:rsidR="001F40F9" w:rsidRPr="00D16E38">
        <w:rPr>
          <w:rFonts w:ascii="Arial" w:hAnsi="Arial" w:cs="Arial"/>
          <w:sz w:val="20"/>
          <w:szCs w:val="20"/>
        </w:rPr>
        <w:t xml:space="preserve"> </w:t>
      </w:r>
      <w:r w:rsidR="001F40F9">
        <w:rPr>
          <w:rFonts w:ascii="Arial" w:hAnsi="Arial" w:cs="Arial"/>
          <w:sz w:val="20"/>
          <w:szCs w:val="20"/>
        </w:rPr>
        <w:t>που</w:t>
      </w:r>
      <w:r>
        <w:rPr>
          <w:rFonts w:ascii="Arial" w:hAnsi="Arial" w:cs="Arial"/>
          <w:sz w:val="20"/>
          <w:szCs w:val="20"/>
        </w:rPr>
        <w:t xml:space="preserve"> διαμόρφωσε το ποσοστό </w:t>
      </w:r>
      <w:r w:rsidR="001F40F9">
        <w:rPr>
          <w:rFonts w:ascii="Arial" w:hAnsi="Arial" w:cs="Arial"/>
          <w:sz w:val="20"/>
          <w:szCs w:val="20"/>
        </w:rPr>
        <w:t>τους</w:t>
      </w:r>
      <w:r>
        <w:rPr>
          <w:rFonts w:ascii="Arial" w:hAnsi="Arial" w:cs="Arial"/>
          <w:sz w:val="20"/>
          <w:szCs w:val="20"/>
        </w:rPr>
        <w:t xml:space="preserve"> στο 60% των συνολικών πωλήσεων, </w:t>
      </w:r>
      <w:r w:rsidRPr="00C035C1">
        <w:rPr>
          <w:rFonts w:ascii="Arial" w:hAnsi="Arial" w:cs="Arial"/>
          <w:b/>
          <w:sz w:val="20"/>
          <w:szCs w:val="20"/>
        </w:rPr>
        <w:t>το υψηλότερο ποσοστό συμμετοχής στις πωλήσεις ιστορικά,</w:t>
      </w:r>
      <w:r>
        <w:rPr>
          <w:rFonts w:ascii="Arial" w:hAnsi="Arial" w:cs="Arial"/>
          <w:sz w:val="20"/>
          <w:szCs w:val="20"/>
        </w:rPr>
        <w:t xml:space="preserve"> καθώς και η εκμετάλλευση των ευκαιριών αριστοποίησης αργών που παρουσιάστηκαν στις διεθνείς αγορές αργού</w:t>
      </w:r>
      <w:r w:rsidR="001F0EC7" w:rsidRPr="001F0EC7">
        <w:rPr>
          <w:rFonts w:ascii="Arial" w:hAnsi="Arial" w:cs="Arial"/>
          <w:sz w:val="20"/>
          <w:szCs w:val="20"/>
        </w:rPr>
        <w:t>,</w:t>
      </w:r>
      <w:r>
        <w:rPr>
          <w:rFonts w:ascii="Arial" w:hAnsi="Arial" w:cs="Arial"/>
          <w:sz w:val="20"/>
          <w:szCs w:val="20"/>
        </w:rPr>
        <w:t xml:space="preserve"> επηρέασαν θετικά τα αποτελέσματα.</w:t>
      </w:r>
    </w:p>
    <w:p w:rsidR="00EB5787" w:rsidRDefault="00EB5787" w:rsidP="0079627C">
      <w:pPr>
        <w:spacing w:before="120" w:after="120" w:line="360" w:lineRule="auto"/>
        <w:jc w:val="both"/>
        <w:rPr>
          <w:rFonts w:ascii="Arial" w:hAnsi="Arial" w:cs="Arial"/>
          <w:sz w:val="20"/>
          <w:szCs w:val="20"/>
        </w:rPr>
      </w:pPr>
      <w:r>
        <w:rPr>
          <w:rFonts w:ascii="Arial" w:hAnsi="Arial" w:cs="Arial"/>
          <w:sz w:val="20"/>
          <w:szCs w:val="20"/>
        </w:rPr>
        <w:t xml:space="preserve">Η υλοποίηση της εμπορικής συμφωνίας με την κρατική ιρανική εταιρεία </w:t>
      </w:r>
      <w:r>
        <w:rPr>
          <w:rFonts w:ascii="Arial" w:hAnsi="Arial" w:cs="Arial"/>
          <w:sz w:val="20"/>
          <w:szCs w:val="20"/>
          <w:lang w:val="en-US"/>
        </w:rPr>
        <w:t>NIOC</w:t>
      </w:r>
      <w:r>
        <w:rPr>
          <w:rFonts w:ascii="Arial" w:hAnsi="Arial" w:cs="Arial"/>
          <w:sz w:val="20"/>
          <w:szCs w:val="20"/>
        </w:rPr>
        <w:t xml:space="preserve"> στο πλαίσιο πάντα των σχετικών διεθνών προβλέψεων και η διεύρυνση του αριθμού των κύριων προμηθευτών αργού, με πλέον σημαντική τη συμφωνία με τη </w:t>
      </w:r>
      <w:proofErr w:type="spellStart"/>
      <w:r>
        <w:rPr>
          <w:rFonts w:ascii="Arial" w:hAnsi="Arial" w:cs="Arial"/>
          <w:sz w:val="20"/>
          <w:szCs w:val="20"/>
          <w:lang w:val="en-US"/>
        </w:rPr>
        <w:t>Rosneft</w:t>
      </w:r>
      <w:proofErr w:type="spellEnd"/>
      <w:r w:rsidRPr="00EB5787">
        <w:rPr>
          <w:rFonts w:ascii="Arial" w:hAnsi="Arial" w:cs="Arial"/>
          <w:sz w:val="20"/>
          <w:szCs w:val="20"/>
        </w:rPr>
        <w:t xml:space="preserve">, </w:t>
      </w:r>
      <w:r w:rsidR="00B03D41">
        <w:rPr>
          <w:rFonts w:ascii="Arial" w:hAnsi="Arial" w:cs="Arial"/>
          <w:sz w:val="20"/>
          <w:szCs w:val="20"/>
        </w:rPr>
        <w:t xml:space="preserve">η οποία ήδη τέθηκε σε εφαρμογή, </w:t>
      </w:r>
      <w:r>
        <w:rPr>
          <w:rFonts w:ascii="Arial" w:hAnsi="Arial" w:cs="Arial"/>
          <w:sz w:val="20"/>
          <w:szCs w:val="20"/>
        </w:rPr>
        <w:t xml:space="preserve">συνετέλεσαν στη διαφοροποίηση των πηγών προμήθειας </w:t>
      </w:r>
      <w:r w:rsidR="00D94D95">
        <w:rPr>
          <w:rFonts w:ascii="Arial" w:hAnsi="Arial" w:cs="Arial"/>
          <w:sz w:val="20"/>
          <w:szCs w:val="20"/>
        </w:rPr>
        <w:t xml:space="preserve">αργού και την </w:t>
      </w:r>
      <w:r w:rsidR="00502545">
        <w:rPr>
          <w:rFonts w:ascii="Arial" w:hAnsi="Arial" w:cs="Arial"/>
          <w:sz w:val="20"/>
          <w:szCs w:val="20"/>
        </w:rPr>
        <w:t xml:space="preserve">αριστοποίηση </w:t>
      </w:r>
      <w:r w:rsidR="00D94D95">
        <w:rPr>
          <w:rFonts w:ascii="Arial" w:hAnsi="Arial" w:cs="Arial"/>
          <w:sz w:val="20"/>
          <w:szCs w:val="20"/>
        </w:rPr>
        <w:t>του μίγματος κατεργασίας με θετικές επιπτώσεις στην απόδοση των διυλιστηρίων.</w:t>
      </w:r>
    </w:p>
    <w:p w:rsidR="00D27EFD" w:rsidRDefault="00D27EFD" w:rsidP="0079627C">
      <w:pPr>
        <w:spacing w:before="120" w:after="120" w:line="360" w:lineRule="auto"/>
        <w:jc w:val="both"/>
        <w:rPr>
          <w:rFonts w:ascii="Arial" w:hAnsi="Arial" w:cs="Arial"/>
          <w:b/>
          <w:sz w:val="20"/>
          <w:szCs w:val="20"/>
        </w:rPr>
      </w:pPr>
    </w:p>
    <w:p w:rsidR="00D27EFD" w:rsidRDefault="00D27EFD" w:rsidP="0079627C">
      <w:pPr>
        <w:spacing w:before="120" w:after="120" w:line="360" w:lineRule="auto"/>
        <w:jc w:val="both"/>
        <w:rPr>
          <w:rFonts w:ascii="Arial" w:hAnsi="Arial" w:cs="Arial"/>
          <w:b/>
          <w:sz w:val="20"/>
          <w:szCs w:val="20"/>
        </w:rPr>
      </w:pPr>
    </w:p>
    <w:p w:rsidR="00D27EFD" w:rsidRDefault="00D27EFD" w:rsidP="0079627C">
      <w:pPr>
        <w:spacing w:before="120" w:after="120" w:line="360" w:lineRule="auto"/>
        <w:jc w:val="both"/>
        <w:rPr>
          <w:rFonts w:ascii="Arial" w:hAnsi="Arial" w:cs="Arial"/>
          <w:b/>
          <w:sz w:val="20"/>
          <w:szCs w:val="20"/>
        </w:rPr>
      </w:pPr>
    </w:p>
    <w:p w:rsidR="00EB5787" w:rsidRPr="00EB5787" w:rsidRDefault="00C035C1" w:rsidP="0079627C">
      <w:pPr>
        <w:spacing w:before="120" w:after="120" w:line="360" w:lineRule="auto"/>
        <w:jc w:val="both"/>
        <w:rPr>
          <w:rFonts w:ascii="Arial" w:hAnsi="Arial" w:cs="Arial"/>
          <w:b/>
          <w:sz w:val="20"/>
          <w:szCs w:val="20"/>
        </w:rPr>
      </w:pPr>
      <w:r>
        <w:rPr>
          <w:rFonts w:ascii="Arial" w:hAnsi="Arial" w:cs="Arial"/>
          <w:b/>
          <w:sz w:val="20"/>
          <w:szCs w:val="20"/>
        </w:rPr>
        <w:lastRenderedPageBreak/>
        <w:t xml:space="preserve">Αποπληρωμή ομολόγου €400 εκατ., μείωση χρηματοοικονομικού κόστους </w:t>
      </w:r>
    </w:p>
    <w:p w:rsidR="00133014" w:rsidRPr="00184AD4" w:rsidRDefault="00EE1190" w:rsidP="0079627C">
      <w:pPr>
        <w:spacing w:before="120" w:after="120" w:line="360" w:lineRule="auto"/>
        <w:jc w:val="both"/>
        <w:rPr>
          <w:rFonts w:ascii="Arial" w:hAnsi="Arial" w:cs="Arial"/>
          <w:sz w:val="20"/>
          <w:szCs w:val="20"/>
        </w:rPr>
      </w:pPr>
      <w:r>
        <w:rPr>
          <w:rFonts w:ascii="Arial" w:hAnsi="Arial" w:cs="Arial"/>
          <w:sz w:val="20"/>
          <w:szCs w:val="20"/>
        </w:rPr>
        <w:t xml:space="preserve">Στα χρηματοοικονομικά μεγέθη επίσης </w:t>
      </w:r>
      <w:r w:rsidR="003334AF">
        <w:rPr>
          <w:rFonts w:ascii="Arial" w:hAnsi="Arial" w:cs="Arial"/>
          <w:sz w:val="20"/>
          <w:szCs w:val="20"/>
        </w:rPr>
        <w:t>υπήρξε</w:t>
      </w:r>
      <w:r>
        <w:rPr>
          <w:rFonts w:ascii="Arial" w:hAnsi="Arial" w:cs="Arial"/>
          <w:sz w:val="20"/>
          <w:szCs w:val="20"/>
        </w:rPr>
        <w:t xml:space="preserve"> περαιτέρω βελτίωση</w:t>
      </w:r>
      <w:r w:rsidR="00692B19">
        <w:rPr>
          <w:rFonts w:ascii="Arial" w:hAnsi="Arial" w:cs="Arial"/>
          <w:sz w:val="20"/>
          <w:szCs w:val="20"/>
        </w:rPr>
        <w:t>,</w:t>
      </w:r>
      <w:r>
        <w:rPr>
          <w:rFonts w:ascii="Arial" w:hAnsi="Arial" w:cs="Arial"/>
          <w:sz w:val="20"/>
          <w:szCs w:val="20"/>
        </w:rPr>
        <w:t xml:space="preserve"> καθώς αποπληρώθηκε </w:t>
      </w:r>
      <w:r w:rsidR="007D4FE8">
        <w:rPr>
          <w:rFonts w:ascii="Arial" w:hAnsi="Arial" w:cs="Arial"/>
          <w:sz w:val="20"/>
          <w:szCs w:val="20"/>
        </w:rPr>
        <w:t xml:space="preserve">το </w:t>
      </w:r>
      <w:r w:rsidR="0011206F">
        <w:rPr>
          <w:rFonts w:ascii="Arial" w:hAnsi="Arial" w:cs="Arial"/>
          <w:sz w:val="20"/>
          <w:szCs w:val="20"/>
        </w:rPr>
        <w:t>ομόλογο</w:t>
      </w:r>
      <w:r w:rsidR="007D4FE8">
        <w:rPr>
          <w:rFonts w:ascii="Arial" w:hAnsi="Arial" w:cs="Arial"/>
          <w:sz w:val="20"/>
          <w:szCs w:val="20"/>
        </w:rPr>
        <w:t xml:space="preserve"> $400εκ. έκδοσης </w:t>
      </w:r>
      <w:r w:rsidR="007D4FE8">
        <w:rPr>
          <w:rFonts w:ascii="Arial" w:hAnsi="Arial" w:cs="Arial"/>
          <w:sz w:val="20"/>
          <w:szCs w:val="20"/>
          <w:lang w:val="en-GB"/>
        </w:rPr>
        <w:t>HPF</w:t>
      </w:r>
      <w:r w:rsidR="007D4FE8" w:rsidRPr="008F508C">
        <w:rPr>
          <w:rFonts w:ascii="Arial" w:hAnsi="Arial" w:cs="Arial"/>
          <w:sz w:val="20"/>
          <w:szCs w:val="20"/>
        </w:rPr>
        <w:t xml:space="preserve"> </w:t>
      </w:r>
      <w:proofErr w:type="spellStart"/>
      <w:r w:rsidR="007D4FE8">
        <w:rPr>
          <w:rFonts w:ascii="Arial" w:hAnsi="Arial" w:cs="Arial"/>
          <w:sz w:val="20"/>
          <w:szCs w:val="20"/>
          <w:lang w:val="en-GB"/>
        </w:rPr>
        <w:t>plc</w:t>
      </w:r>
      <w:proofErr w:type="spellEnd"/>
      <w:r>
        <w:rPr>
          <w:rFonts w:ascii="Arial" w:hAnsi="Arial" w:cs="Arial"/>
          <w:sz w:val="20"/>
          <w:szCs w:val="20"/>
        </w:rPr>
        <w:t xml:space="preserve"> </w:t>
      </w:r>
      <w:r w:rsidR="007D4FE8">
        <w:rPr>
          <w:rFonts w:ascii="Arial" w:hAnsi="Arial" w:cs="Arial"/>
          <w:sz w:val="20"/>
          <w:szCs w:val="20"/>
        </w:rPr>
        <w:t>σ</w:t>
      </w:r>
      <w:r w:rsidR="00E960C8">
        <w:rPr>
          <w:rFonts w:ascii="Arial" w:hAnsi="Arial" w:cs="Arial"/>
          <w:sz w:val="20"/>
          <w:szCs w:val="20"/>
        </w:rPr>
        <w:t>τις 16 Μαΐου 2016</w:t>
      </w:r>
      <w:r w:rsidR="005D789B">
        <w:rPr>
          <w:rFonts w:ascii="Arial" w:hAnsi="Arial" w:cs="Arial"/>
          <w:sz w:val="20"/>
          <w:szCs w:val="20"/>
        </w:rPr>
        <w:t>,</w:t>
      </w:r>
      <w:r w:rsidR="00104CFC">
        <w:rPr>
          <w:rFonts w:ascii="Arial" w:hAnsi="Arial" w:cs="Arial"/>
          <w:sz w:val="20"/>
          <w:szCs w:val="20"/>
        </w:rPr>
        <w:t xml:space="preserve"> </w:t>
      </w:r>
      <w:r>
        <w:rPr>
          <w:rFonts w:ascii="Arial" w:hAnsi="Arial" w:cs="Arial"/>
          <w:sz w:val="20"/>
          <w:szCs w:val="20"/>
        </w:rPr>
        <w:t xml:space="preserve">ενώ ιδιαίτερα επιτυχημένη ήταν και η διαδικασία </w:t>
      </w:r>
      <w:r w:rsidR="00BD4F16">
        <w:rPr>
          <w:rFonts w:ascii="Arial" w:hAnsi="Arial" w:cs="Arial"/>
          <w:sz w:val="20"/>
          <w:szCs w:val="20"/>
        </w:rPr>
        <w:t>εναρμόνιση</w:t>
      </w:r>
      <w:r>
        <w:rPr>
          <w:rFonts w:ascii="Arial" w:hAnsi="Arial" w:cs="Arial"/>
          <w:sz w:val="20"/>
          <w:szCs w:val="20"/>
        </w:rPr>
        <w:t>ς</w:t>
      </w:r>
      <w:r w:rsidR="009066F9">
        <w:rPr>
          <w:rFonts w:ascii="Arial" w:hAnsi="Arial" w:cs="Arial"/>
          <w:sz w:val="20"/>
          <w:szCs w:val="20"/>
        </w:rPr>
        <w:t xml:space="preserve"> των</w:t>
      </w:r>
      <w:r w:rsidR="00BD4F16">
        <w:rPr>
          <w:rFonts w:ascii="Arial" w:hAnsi="Arial" w:cs="Arial"/>
          <w:sz w:val="20"/>
          <w:szCs w:val="20"/>
        </w:rPr>
        <w:t xml:space="preserve"> όρων</w:t>
      </w:r>
      <w:r w:rsidR="00BD4F16" w:rsidRPr="00BD4F16">
        <w:rPr>
          <w:rFonts w:ascii="Arial" w:hAnsi="Arial" w:cs="Arial"/>
          <w:sz w:val="20"/>
          <w:szCs w:val="20"/>
        </w:rPr>
        <w:t xml:space="preserve"> </w:t>
      </w:r>
      <w:r w:rsidR="009066F9">
        <w:rPr>
          <w:rFonts w:ascii="Arial" w:hAnsi="Arial" w:cs="Arial"/>
          <w:sz w:val="20"/>
          <w:szCs w:val="20"/>
        </w:rPr>
        <w:t>ευρω</w:t>
      </w:r>
      <w:r w:rsidR="00BD4F16">
        <w:rPr>
          <w:rFonts w:ascii="Arial" w:hAnsi="Arial" w:cs="Arial"/>
          <w:sz w:val="20"/>
          <w:szCs w:val="20"/>
        </w:rPr>
        <w:t>ομολόγων και δανειακών συμβάσεων με εμπορικές τράπεζες</w:t>
      </w:r>
      <w:r>
        <w:rPr>
          <w:rFonts w:ascii="Arial" w:hAnsi="Arial" w:cs="Arial"/>
          <w:sz w:val="20"/>
          <w:szCs w:val="20"/>
        </w:rPr>
        <w:t xml:space="preserve">. </w:t>
      </w:r>
      <w:r w:rsidR="003334AF">
        <w:rPr>
          <w:rFonts w:ascii="Arial" w:hAnsi="Arial" w:cs="Arial"/>
          <w:sz w:val="20"/>
          <w:szCs w:val="20"/>
        </w:rPr>
        <w:t>Τέλος, α</w:t>
      </w:r>
      <w:r>
        <w:rPr>
          <w:rFonts w:ascii="Arial" w:hAnsi="Arial" w:cs="Arial"/>
          <w:sz w:val="20"/>
          <w:szCs w:val="20"/>
        </w:rPr>
        <w:t>ξίζει να σημειωθεί ότι τα έξοδα τόκων μειώθηκαν κατά 5% σε σχέση με πέρυσι</w:t>
      </w:r>
      <w:r w:rsidR="001F0EC7" w:rsidRPr="001F0EC7">
        <w:rPr>
          <w:rFonts w:ascii="Arial" w:hAnsi="Arial" w:cs="Arial"/>
          <w:sz w:val="20"/>
          <w:szCs w:val="20"/>
        </w:rPr>
        <w:t>,</w:t>
      </w:r>
      <w:r>
        <w:rPr>
          <w:rFonts w:ascii="Arial" w:hAnsi="Arial" w:cs="Arial"/>
          <w:sz w:val="20"/>
          <w:szCs w:val="20"/>
        </w:rPr>
        <w:t xml:space="preserve"> ενώ σε εξέλιξη είναι και ο σχεδιασμός για</w:t>
      </w:r>
      <w:r w:rsidR="00350155">
        <w:rPr>
          <w:rFonts w:ascii="Arial" w:hAnsi="Arial" w:cs="Arial"/>
          <w:sz w:val="20"/>
          <w:szCs w:val="20"/>
        </w:rPr>
        <w:t xml:space="preserve"> την </w:t>
      </w:r>
      <w:r w:rsidR="00243005">
        <w:rPr>
          <w:rFonts w:ascii="Arial" w:hAnsi="Arial" w:cs="Arial"/>
          <w:sz w:val="20"/>
          <w:szCs w:val="20"/>
        </w:rPr>
        <w:t>αναχρηματοδότηση υφιστάμενων ομολόγων</w:t>
      </w:r>
      <w:r w:rsidR="00692B19">
        <w:rPr>
          <w:rFonts w:ascii="Arial" w:hAnsi="Arial" w:cs="Arial"/>
          <w:sz w:val="20"/>
          <w:szCs w:val="20"/>
        </w:rPr>
        <w:t>,</w:t>
      </w:r>
      <w:r w:rsidR="003334AF">
        <w:rPr>
          <w:rFonts w:ascii="Arial" w:hAnsi="Arial" w:cs="Arial"/>
          <w:sz w:val="20"/>
          <w:szCs w:val="20"/>
        </w:rPr>
        <w:t xml:space="preserve"> γεγονός που θα οδηγήσει σε μεγαλύτερη </w:t>
      </w:r>
      <w:r w:rsidR="002E1230">
        <w:rPr>
          <w:rFonts w:ascii="Arial" w:hAnsi="Arial" w:cs="Arial"/>
          <w:sz w:val="20"/>
          <w:szCs w:val="20"/>
        </w:rPr>
        <w:t>μείωση</w:t>
      </w:r>
      <w:r w:rsidR="003334AF">
        <w:rPr>
          <w:rFonts w:ascii="Arial" w:hAnsi="Arial" w:cs="Arial"/>
          <w:sz w:val="20"/>
          <w:szCs w:val="20"/>
        </w:rPr>
        <w:t xml:space="preserve"> του κόστους δανεισμού</w:t>
      </w:r>
      <w:r w:rsidR="00184AD4">
        <w:rPr>
          <w:rFonts w:ascii="Arial" w:hAnsi="Arial" w:cs="Arial"/>
          <w:sz w:val="20"/>
          <w:szCs w:val="20"/>
        </w:rPr>
        <w:t>.</w:t>
      </w:r>
    </w:p>
    <w:p w:rsidR="007B409D" w:rsidRPr="009F2A44" w:rsidRDefault="005D789B" w:rsidP="007B409D">
      <w:pPr>
        <w:spacing w:before="120" w:after="120" w:line="360" w:lineRule="auto"/>
        <w:jc w:val="both"/>
        <w:rPr>
          <w:rFonts w:ascii="Arial" w:hAnsi="Arial" w:cs="Arial"/>
          <w:b/>
          <w:sz w:val="20"/>
          <w:szCs w:val="20"/>
        </w:rPr>
      </w:pPr>
      <w:r>
        <w:rPr>
          <w:rFonts w:ascii="Arial" w:hAnsi="Arial" w:cs="Arial"/>
          <w:b/>
          <w:sz w:val="20"/>
          <w:szCs w:val="20"/>
        </w:rPr>
        <w:t>Ανάκαμψη</w:t>
      </w:r>
      <w:r w:rsidR="00891919" w:rsidRPr="009F2A44">
        <w:rPr>
          <w:rFonts w:ascii="Arial" w:hAnsi="Arial" w:cs="Arial"/>
          <w:b/>
          <w:sz w:val="20"/>
          <w:szCs w:val="20"/>
        </w:rPr>
        <w:t xml:space="preserve"> διεθνών τιμών</w:t>
      </w:r>
      <w:r w:rsidR="00C035C1">
        <w:rPr>
          <w:rFonts w:ascii="Arial" w:hAnsi="Arial" w:cs="Arial"/>
          <w:b/>
          <w:sz w:val="20"/>
          <w:szCs w:val="20"/>
        </w:rPr>
        <w:t xml:space="preserve"> αργού, μειωμένα περιθώρια διύλισης</w:t>
      </w:r>
    </w:p>
    <w:p w:rsidR="003E4D9D" w:rsidRPr="009F2A44" w:rsidRDefault="009F2A44" w:rsidP="001E247E">
      <w:pPr>
        <w:spacing w:before="120" w:after="120" w:line="360" w:lineRule="auto"/>
        <w:jc w:val="both"/>
        <w:rPr>
          <w:rFonts w:ascii="Arial" w:hAnsi="Arial" w:cs="Arial"/>
          <w:sz w:val="20"/>
          <w:szCs w:val="20"/>
        </w:rPr>
      </w:pPr>
      <w:r w:rsidRPr="009F2A44">
        <w:rPr>
          <w:rFonts w:ascii="Arial" w:hAnsi="Arial" w:cs="Arial"/>
          <w:sz w:val="20"/>
          <w:szCs w:val="20"/>
        </w:rPr>
        <w:t xml:space="preserve">Κατά το </w:t>
      </w:r>
      <w:r w:rsidR="003334AF">
        <w:rPr>
          <w:rFonts w:ascii="Arial" w:hAnsi="Arial" w:cs="Arial"/>
          <w:sz w:val="20"/>
          <w:szCs w:val="20"/>
        </w:rPr>
        <w:t>Β</w:t>
      </w:r>
      <w:r w:rsidR="00C67262" w:rsidRPr="009F2A44">
        <w:rPr>
          <w:rFonts w:ascii="Arial" w:hAnsi="Arial" w:cs="Arial"/>
          <w:sz w:val="20"/>
          <w:szCs w:val="20"/>
        </w:rPr>
        <w:t>’ Τρίμηνο</w:t>
      </w:r>
      <w:r w:rsidR="000C601E">
        <w:rPr>
          <w:rFonts w:ascii="Arial" w:hAnsi="Arial" w:cs="Arial"/>
          <w:sz w:val="20"/>
          <w:szCs w:val="20"/>
        </w:rPr>
        <w:t xml:space="preserve"> η μειωμένη προσφορά αργού πετρελαίου λόγω προβλημάτων παραγωγής σε Καναδά και Νιγηρία, σε συνδυασμό με τη συνεχιζόμενη αύξηση της ζήτησης παγκοσμίως, οδήγησε σε</w:t>
      </w:r>
      <w:r w:rsidR="009046FC">
        <w:rPr>
          <w:rFonts w:ascii="Arial" w:hAnsi="Arial" w:cs="Arial"/>
          <w:sz w:val="20"/>
          <w:szCs w:val="20"/>
        </w:rPr>
        <w:t xml:space="preserve"> μερική</w:t>
      </w:r>
      <w:r w:rsidR="000C601E">
        <w:rPr>
          <w:rFonts w:ascii="Arial" w:hAnsi="Arial" w:cs="Arial"/>
          <w:sz w:val="20"/>
          <w:szCs w:val="20"/>
        </w:rPr>
        <w:t xml:space="preserve"> ανάκαμψη των διεθνών τιμών πετρελαίου.</w:t>
      </w:r>
      <w:r w:rsidR="00C67262" w:rsidRPr="009F2A44">
        <w:rPr>
          <w:rFonts w:ascii="Arial" w:hAnsi="Arial" w:cs="Arial"/>
          <w:sz w:val="20"/>
          <w:szCs w:val="20"/>
        </w:rPr>
        <w:t xml:space="preserve"> </w:t>
      </w:r>
      <w:r w:rsidR="00A70B6D" w:rsidRPr="009F2A44">
        <w:rPr>
          <w:rFonts w:ascii="Arial" w:hAnsi="Arial" w:cs="Arial"/>
          <w:sz w:val="20"/>
          <w:szCs w:val="20"/>
        </w:rPr>
        <w:t xml:space="preserve">Το αργό τύπου </w:t>
      </w:r>
      <w:r w:rsidR="00A70B6D" w:rsidRPr="009F2A44">
        <w:rPr>
          <w:rFonts w:ascii="Arial" w:hAnsi="Arial" w:cs="Arial"/>
          <w:sz w:val="20"/>
          <w:szCs w:val="20"/>
          <w:lang w:val="en-GB"/>
        </w:rPr>
        <w:t>Brent</w:t>
      </w:r>
      <w:r w:rsidR="00B96289">
        <w:rPr>
          <w:rFonts w:ascii="Arial" w:hAnsi="Arial" w:cs="Arial"/>
          <w:sz w:val="20"/>
          <w:szCs w:val="20"/>
        </w:rPr>
        <w:t xml:space="preserve">, κυμάνθηκε </w:t>
      </w:r>
      <w:r w:rsidR="00123C74">
        <w:rPr>
          <w:rFonts w:ascii="Arial" w:hAnsi="Arial" w:cs="Arial"/>
          <w:sz w:val="20"/>
          <w:szCs w:val="20"/>
        </w:rPr>
        <w:t xml:space="preserve">κατά μέσο όρο </w:t>
      </w:r>
      <w:r w:rsidR="00B96289">
        <w:rPr>
          <w:rFonts w:ascii="Arial" w:hAnsi="Arial" w:cs="Arial"/>
          <w:sz w:val="20"/>
          <w:szCs w:val="20"/>
        </w:rPr>
        <w:t>στα $</w:t>
      </w:r>
      <w:r w:rsidR="000C601E">
        <w:rPr>
          <w:rFonts w:ascii="Arial" w:hAnsi="Arial" w:cs="Arial"/>
          <w:sz w:val="20"/>
          <w:szCs w:val="20"/>
        </w:rPr>
        <w:t>47</w:t>
      </w:r>
      <w:r w:rsidR="00A70B6D" w:rsidRPr="009F2A44">
        <w:rPr>
          <w:rFonts w:ascii="Arial" w:hAnsi="Arial" w:cs="Arial"/>
          <w:sz w:val="20"/>
          <w:szCs w:val="20"/>
        </w:rPr>
        <w:t>/</w:t>
      </w:r>
      <w:proofErr w:type="spellStart"/>
      <w:r w:rsidR="00A70B6D" w:rsidRPr="009F2A44">
        <w:rPr>
          <w:rFonts w:ascii="Arial" w:hAnsi="Arial" w:cs="Arial"/>
          <w:sz w:val="20"/>
          <w:szCs w:val="20"/>
          <w:lang w:val="en-GB"/>
        </w:rPr>
        <w:t>bbl</w:t>
      </w:r>
      <w:proofErr w:type="spellEnd"/>
      <w:r w:rsidR="00F26DAE">
        <w:rPr>
          <w:rFonts w:ascii="Arial" w:hAnsi="Arial" w:cs="Arial"/>
          <w:sz w:val="20"/>
          <w:szCs w:val="20"/>
        </w:rPr>
        <w:t xml:space="preserve"> για το </w:t>
      </w:r>
      <w:r w:rsidR="000C601E">
        <w:rPr>
          <w:rFonts w:ascii="Arial" w:hAnsi="Arial" w:cs="Arial"/>
          <w:sz w:val="20"/>
          <w:szCs w:val="20"/>
        </w:rPr>
        <w:t>Β</w:t>
      </w:r>
      <w:r w:rsidR="00F26DAE">
        <w:rPr>
          <w:rFonts w:ascii="Arial" w:hAnsi="Arial" w:cs="Arial"/>
          <w:sz w:val="20"/>
          <w:szCs w:val="20"/>
        </w:rPr>
        <w:t>’ τρίμηνο 2016</w:t>
      </w:r>
      <w:r w:rsidR="002E1230">
        <w:rPr>
          <w:rFonts w:ascii="Arial" w:hAnsi="Arial" w:cs="Arial"/>
          <w:sz w:val="20"/>
          <w:szCs w:val="20"/>
        </w:rPr>
        <w:t xml:space="preserve"> σημειώνοντας άνοδο </w:t>
      </w:r>
      <w:r w:rsidR="00691449">
        <w:rPr>
          <w:rFonts w:ascii="Arial" w:hAnsi="Arial" w:cs="Arial"/>
          <w:sz w:val="20"/>
          <w:szCs w:val="20"/>
        </w:rPr>
        <w:t>30</w:t>
      </w:r>
      <w:r w:rsidR="002E1230">
        <w:rPr>
          <w:rFonts w:ascii="Arial" w:hAnsi="Arial" w:cs="Arial"/>
          <w:sz w:val="20"/>
          <w:szCs w:val="20"/>
        </w:rPr>
        <w:t>% σε σχέση με την αρχή του έτους</w:t>
      </w:r>
      <w:r w:rsidR="000C601E">
        <w:rPr>
          <w:rFonts w:ascii="Arial" w:hAnsi="Arial" w:cs="Arial"/>
          <w:sz w:val="20"/>
          <w:szCs w:val="20"/>
        </w:rPr>
        <w:t>.</w:t>
      </w:r>
      <w:r w:rsidR="00A70B6D" w:rsidRPr="009F2A44">
        <w:rPr>
          <w:rFonts w:ascii="Arial" w:hAnsi="Arial" w:cs="Arial"/>
          <w:sz w:val="20"/>
          <w:szCs w:val="20"/>
        </w:rPr>
        <w:t xml:space="preserve"> </w:t>
      </w:r>
      <w:r w:rsidR="002E1230">
        <w:rPr>
          <w:rFonts w:ascii="Arial" w:hAnsi="Arial" w:cs="Arial"/>
          <w:sz w:val="20"/>
          <w:szCs w:val="20"/>
        </w:rPr>
        <w:t>Αντίθετα, τ</w:t>
      </w:r>
      <w:r w:rsidR="002E1230" w:rsidRPr="009F2A44">
        <w:rPr>
          <w:rFonts w:ascii="Arial" w:hAnsi="Arial" w:cs="Arial"/>
          <w:sz w:val="20"/>
          <w:szCs w:val="20"/>
        </w:rPr>
        <w:t xml:space="preserve">ο </w:t>
      </w:r>
      <w:r w:rsidR="008870DD" w:rsidRPr="009F2A44">
        <w:rPr>
          <w:rFonts w:ascii="Arial" w:hAnsi="Arial" w:cs="Arial"/>
          <w:sz w:val="20"/>
          <w:szCs w:val="20"/>
        </w:rPr>
        <w:t>δολάριο</w:t>
      </w:r>
      <w:r w:rsidR="00A70B6D" w:rsidRPr="009F2A44">
        <w:rPr>
          <w:rFonts w:ascii="Arial" w:hAnsi="Arial" w:cs="Arial"/>
          <w:sz w:val="20"/>
          <w:szCs w:val="20"/>
        </w:rPr>
        <w:t xml:space="preserve"> </w:t>
      </w:r>
      <w:r w:rsidR="0031466F">
        <w:rPr>
          <w:rFonts w:ascii="Arial" w:hAnsi="Arial" w:cs="Arial"/>
          <w:sz w:val="20"/>
          <w:szCs w:val="20"/>
        </w:rPr>
        <w:t xml:space="preserve">υποχώρησε </w:t>
      </w:r>
      <w:r w:rsidR="005D789B">
        <w:rPr>
          <w:rFonts w:ascii="Arial" w:hAnsi="Arial" w:cs="Arial"/>
          <w:sz w:val="20"/>
          <w:szCs w:val="20"/>
        </w:rPr>
        <w:t>οριακά</w:t>
      </w:r>
      <w:r w:rsidR="0031466F">
        <w:rPr>
          <w:rFonts w:ascii="Arial" w:hAnsi="Arial" w:cs="Arial"/>
          <w:sz w:val="20"/>
          <w:szCs w:val="20"/>
        </w:rPr>
        <w:t xml:space="preserve"> σε σχέση με </w:t>
      </w:r>
      <w:r w:rsidR="00A70B6D" w:rsidRPr="009F2A44">
        <w:rPr>
          <w:rFonts w:ascii="Arial" w:hAnsi="Arial" w:cs="Arial"/>
          <w:sz w:val="20"/>
          <w:szCs w:val="20"/>
        </w:rPr>
        <w:t>τα προηγούμενα τρίμηνα</w:t>
      </w:r>
      <w:r w:rsidR="00AD7741" w:rsidRPr="009F2A44">
        <w:rPr>
          <w:rFonts w:ascii="Arial" w:hAnsi="Arial" w:cs="Arial"/>
          <w:sz w:val="20"/>
          <w:szCs w:val="20"/>
        </w:rPr>
        <w:t>, με την ισοτιμία του ευρώ να</w:t>
      </w:r>
      <w:r w:rsidR="00A70B6D" w:rsidRPr="009F2A44">
        <w:rPr>
          <w:rFonts w:ascii="Arial" w:hAnsi="Arial" w:cs="Arial"/>
          <w:sz w:val="20"/>
          <w:szCs w:val="20"/>
        </w:rPr>
        <w:t xml:space="preserve"> κυμ</w:t>
      </w:r>
      <w:r w:rsidR="00AD7741" w:rsidRPr="009F2A44">
        <w:rPr>
          <w:rFonts w:ascii="Arial" w:hAnsi="Arial" w:cs="Arial"/>
          <w:sz w:val="20"/>
          <w:szCs w:val="20"/>
        </w:rPr>
        <w:t>αίνεται</w:t>
      </w:r>
      <w:r w:rsidR="00A70B6D" w:rsidRPr="009F2A44">
        <w:rPr>
          <w:rFonts w:ascii="Arial" w:hAnsi="Arial" w:cs="Arial"/>
          <w:sz w:val="20"/>
          <w:szCs w:val="20"/>
        </w:rPr>
        <w:t>, κατά μέσο όρο</w:t>
      </w:r>
      <w:r w:rsidR="00B96289">
        <w:rPr>
          <w:rFonts w:ascii="Arial" w:hAnsi="Arial" w:cs="Arial"/>
          <w:sz w:val="20"/>
          <w:szCs w:val="20"/>
        </w:rPr>
        <w:t>, στα 1,1</w:t>
      </w:r>
      <w:r w:rsidR="0031466F">
        <w:rPr>
          <w:rFonts w:ascii="Arial" w:hAnsi="Arial" w:cs="Arial"/>
          <w:sz w:val="20"/>
          <w:szCs w:val="20"/>
        </w:rPr>
        <w:t>3</w:t>
      </w:r>
      <w:r w:rsidR="00A70B6D" w:rsidRPr="009F2A44">
        <w:rPr>
          <w:rFonts w:ascii="Arial" w:hAnsi="Arial" w:cs="Arial"/>
          <w:sz w:val="20"/>
          <w:szCs w:val="20"/>
        </w:rPr>
        <w:t xml:space="preserve"> </w:t>
      </w:r>
      <w:r w:rsidR="00E0150F" w:rsidRPr="009F2A44">
        <w:rPr>
          <w:rFonts w:ascii="Arial" w:hAnsi="Arial" w:cs="Arial"/>
          <w:sz w:val="20"/>
          <w:szCs w:val="20"/>
        </w:rPr>
        <w:t>δολάρια</w:t>
      </w:r>
      <w:r w:rsidR="00F26DAE">
        <w:rPr>
          <w:rFonts w:ascii="Arial" w:hAnsi="Arial" w:cs="Arial"/>
          <w:sz w:val="20"/>
          <w:szCs w:val="20"/>
        </w:rPr>
        <w:t>.</w:t>
      </w:r>
    </w:p>
    <w:p w:rsidR="00F47461" w:rsidRDefault="00EA0E66" w:rsidP="001E247E">
      <w:pPr>
        <w:spacing w:before="120" w:after="120" w:line="360" w:lineRule="auto"/>
        <w:jc w:val="both"/>
        <w:rPr>
          <w:rFonts w:ascii="Arial" w:hAnsi="Arial" w:cs="Arial"/>
          <w:sz w:val="20"/>
          <w:szCs w:val="20"/>
        </w:rPr>
      </w:pPr>
      <w:r w:rsidRPr="009F2A44">
        <w:rPr>
          <w:rFonts w:ascii="Arial" w:hAnsi="Arial" w:cs="Arial"/>
          <w:sz w:val="20"/>
          <w:szCs w:val="20"/>
          <w:lang w:val="en-GB"/>
        </w:rPr>
        <w:t>H</w:t>
      </w:r>
      <w:r w:rsidR="008F508C">
        <w:rPr>
          <w:rFonts w:ascii="Arial" w:hAnsi="Arial" w:cs="Arial"/>
          <w:sz w:val="20"/>
          <w:szCs w:val="20"/>
        </w:rPr>
        <w:t xml:space="preserve"> </w:t>
      </w:r>
      <w:r w:rsidR="005D789B">
        <w:rPr>
          <w:rFonts w:ascii="Arial" w:hAnsi="Arial" w:cs="Arial"/>
          <w:sz w:val="20"/>
          <w:szCs w:val="20"/>
        </w:rPr>
        <w:t xml:space="preserve">αυξημένη </w:t>
      </w:r>
      <w:r w:rsidR="008F508C">
        <w:rPr>
          <w:rFonts w:ascii="Arial" w:hAnsi="Arial" w:cs="Arial"/>
          <w:sz w:val="20"/>
          <w:szCs w:val="20"/>
        </w:rPr>
        <w:t>προσφορά αργού πετρελαίου</w:t>
      </w:r>
      <w:r w:rsidR="005D789B" w:rsidRPr="005D789B">
        <w:rPr>
          <w:rFonts w:ascii="Arial" w:hAnsi="Arial" w:cs="Arial"/>
          <w:sz w:val="20"/>
          <w:szCs w:val="20"/>
        </w:rPr>
        <w:t xml:space="preserve"> </w:t>
      </w:r>
      <w:r w:rsidR="005D789B">
        <w:rPr>
          <w:rFonts w:ascii="Arial" w:hAnsi="Arial" w:cs="Arial"/>
          <w:sz w:val="20"/>
          <w:szCs w:val="20"/>
        </w:rPr>
        <w:t>στη Μεσόγειο</w:t>
      </w:r>
      <w:r w:rsidR="008F508C">
        <w:rPr>
          <w:rFonts w:ascii="Arial" w:hAnsi="Arial" w:cs="Arial"/>
          <w:sz w:val="20"/>
          <w:szCs w:val="20"/>
        </w:rPr>
        <w:t>, ιδιαίτερα για τους βαρύτερους τύπους αργού,</w:t>
      </w:r>
      <w:r w:rsidR="0031466F">
        <w:rPr>
          <w:rFonts w:ascii="Arial" w:hAnsi="Arial" w:cs="Arial"/>
          <w:sz w:val="20"/>
          <w:szCs w:val="20"/>
        </w:rPr>
        <w:t xml:space="preserve"> που ενισχύθηκε από την επιστροφή του Ιράν </w:t>
      </w:r>
      <w:r w:rsidR="007E7EB6">
        <w:rPr>
          <w:rFonts w:ascii="Arial" w:hAnsi="Arial" w:cs="Arial"/>
          <w:sz w:val="20"/>
          <w:szCs w:val="20"/>
        </w:rPr>
        <w:t>στις διεθνείς</w:t>
      </w:r>
      <w:r w:rsidR="0031466F">
        <w:rPr>
          <w:rFonts w:ascii="Arial" w:hAnsi="Arial" w:cs="Arial"/>
          <w:sz w:val="20"/>
          <w:szCs w:val="20"/>
        </w:rPr>
        <w:t xml:space="preserve"> αγορές, διατήρησε τ</w:t>
      </w:r>
      <w:r w:rsidR="002E1230">
        <w:rPr>
          <w:rFonts w:ascii="Arial" w:hAnsi="Arial" w:cs="Arial"/>
          <w:sz w:val="20"/>
          <w:szCs w:val="20"/>
        </w:rPr>
        <w:t>η διαφορά στη</w:t>
      </w:r>
      <w:r w:rsidR="00184AD4">
        <w:rPr>
          <w:rFonts w:ascii="Arial" w:hAnsi="Arial" w:cs="Arial"/>
          <w:sz w:val="20"/>
          <w:szCs w:val="20"/>
        </w:rPr>
        <w:t>ν</w:t>
      </w:r>
      <w:r w:rsidR="002E1230">
        <w:rPr>
          <w:rFonts w:ascii="Arial" w:hAnsi="Arial" w:cs="Arial"/>
          <w:sz w:val="20"/>
          <w:szCs w:val="20"/>
        </w:rPr>
        <w:t xml:space="preserve"> τιμή αργών </w:t>
      </w:r>
      <w:r w:rsidR="0031466F">
        <w:rPr>
          <w:rFonts w:ascii="Arial" w:hAnsi="Arial" w:cs="Arial"/>
          <w:sz w:val="20"/>
          <w:szCs w:val="20"/>
          <w:lang w:val="en-GB"/>
        </w:rPr>
        <w:t>Brent</w:t>
      </w:r>
      <w:r w:rsidR="0031466F" w:rsidRPr="0031466F">
        <w:rPr>
          <w:rFonts w:ascii="Arial" w:hAnsi="Arial" w:cs="Arial"/>
          <w:sz w:val="20"/>
          <w:szCs w:val="20"/>
        </w:rPr>
        <w:t>-</w:t>
      </w:r>
      <w:r w:rsidR="0031466F">
        <w:rPr>
          <w:rFonts w:ascii="Arial" w:hAnsi="Arial" w:cs="Arial"/>
          <w:sz w:val="20"/>
          <w:szCs w:val="20"/>
          <w:lang w:val="en-GB"/>
        </w:rPr>
        <w:t>Urals</w:t>
      </w:r>
      <w:r w:rsidR="0031466F">
        <w:rPr>
          <w:rFonts w:ascii="Arial" w:hAnsi="Arial" w:cs="Arial"/>
          <w:sz w:val="20"/>
          <w:szCs w:val="20"/>
        </w:rPr>
        <w:t xml:space="preserve"> στα $1</w:t>
      </w:r>
      <w:proofErr w:type="gramStart"/>
      <w:r w:rsidR="0031466F">
        <w:rPr>
          <w:rFonts w:ascii="Arial" w:hAnsi="Arial" w:cs="Arial"/>
          <w:sz w:val="20"/>
          <w:szCs w:val="20"/>
        </w:rPr>
        <w:t>,7</w:t>
      </w:r>
      <w:proofErr w:type="gramEnd"/>
      <w:r w:rsidR="0031466F" w:rsidRPr="009F2A44">
        <w:rPr>
          <w:rFonts w:ascii="Arial" w:hAnsi="Arial" w:cs="Arial"/>
          <w:sz w:val="20"/>
          <w:szCs w:val="20"/>
        </w:rPr>
        <w:t>/</w:t>
      </w:r>
      <w:proofErr w:type="spellStart"/>
      <w:r w:rsidR="0031466F" w:rsidRPr="009F2A44">
        <w:rPr>
          <w:rFonts w:ascii="Arial" w:hAnsi="Arial" w:cs="Arial"/>
          <w:sz w:val="20"/>
          <w:szCs w:val="20"/>
          <w:lang w:val="en-GB"/>
        </w:rPr>
        <w:t>bbl</w:t>
      </w:r>
      <w:proofErr w:type="spellEnd"/>
      <w:r w:rsidR="0031466F">
        <w:rPr>
          <w:rFonts w:ascii="Arial" w:hAnsi="Arial" w:cs="Arial"/>
          <w:sz w:val="20"/>
          <w:szCs w:val="20"/>
        </w:rPr>
        <w:t>, τα υψηλότερα επίπεδα πενταετίας</w:t>
      </w:r>
      <w:r w:rsidR="002E1230">
        <w:rPr>
          <w:rFonts w:ascii="Arial" w:hAnsi="Arial" w:cs="Arial"/>
          <w:sz w:val="20"/>
          <w:szCs w:val="20"/>
        </w:rPr>
        <w:t xml:space="preserve">, </w:t>
      </w:r>
      <w:r w:rsidR="00691449">
        <w:rPr>
          <w:rFonts w:ascii="Arial" w:hAnsi="Arial" w:cs="Arial"/>
          <w:sz w:val="20"/>
          <w:szCs w:val="20"/>
        </w:rPr>
        <w:t>γεγονός που ενισχύει</w:t>
      </w:r>
      <w:r w:rsidR="002E1230">
        <w:rPr>
          <w:rFonts w:ascii="Arial" w:hAnsi="Arial" w:cs="Arial"/>
          <w:sz w:val="20"/>
          <w:szCs w:val="20"/>
        </w:rPr>
        <w:t xml:space="preserve"> </w:t>
      </w:r>
      <w:r w:rsidR="00691449">
        <w:rPr>
          <w:rFonts w:ascii="Arial" w:hAnsi="Arial" w:cs="Arial"/>
          <w:sz w:val="20"/>
          <w:szCs w:val="20"/>
        </w:rPr>
        <w:t>την</w:t>
      </w:r>
      <w:r w:rsidR="002E1230">
        <w:rPr>
          <w:rFonts w:ascii="Arial" w:hAnsi="Arial" w:cs="Arial"/>
          <w:sz w:val="20"/>
          <w:szCs w:val="20"/>
        </w:rPr>
        <w:t xml:space="preserve"> κερδοφορία σύνθετων διυλιστηρίων όπως η Ελευσίνα</w:t>
      </w:r>
      <w:r w:rsidR="00A60616" w:rsidRPr="00DA53AD">
        <w:rPr>
          <w:rFonts w:ascii="Arial" w:hAnsi="Arial" w:cs="Arial"/>
          <w:sz w:val="20"/>
          <w:szCs w:val="20"/>
        </w:rPr>
        <w:t xml:space="preserve"> </w:t>
      </w:r>
      <w:r w:rsidR="00A60616">
        <w:rPr>
          <w:rFonts w:ascii="Arial" w:hAnsi="Arial" w:cs="Arial"/>
          <w:sz w:val="20"/>
          <w:szCs w:val="20"/>
        </w:rPr>
        <w:t>και ο Ασπρόπυργος</w:t>
      </w:r>
      <w:r w:rsidR="00184AD4">
        <w:rPr>
          <w:rFonts w:ascii="Arial" w:hAnsi="Arial" w:cs="Arial"/>
          <w:sz w:val="20"/>
          <w:szCs w:val="20"/>
        </w:rPr>
        <w:t>,</w:t>
      </w:r>
      <w:r w:rsidR="002E1230">
        <w:rPr>
          <w:rFonts w:ascii="Arial" w:hAnsi="Arial" w:cs="Arial"/>
          <w:sz w:val="20"/>
          <w:szCs w:val="20"/>
        </w:rPr>
        <w:t xml:space="preserve"> τα οποία έχουν αυξημένες δυνατότητες επεξεργασίας </w:t>
      </w:r>
      <w:r w:rsidR="00691449">
        <w:rPr>
          <w:rFonts w:ascii="Arial" w:hAnsi="Arial" w:cs="Arial"/>
          <w:sz w:val="20"/>
          <w:szCs w:val="20"/>
        </w:rPr>
        <w:t>αντίστοιχων</w:t>
      </w:r>
      <w:r w:rsidR="002E1230">
        <w:rPr>
          <w:rFonts w:ascii="Arial" w:hAnsi="Arial" w:cs="Arial"/>
          <w:sz w:val="20"/>
          <w:szCs w:val="20"/>
        </w:rPr>
        <w:t xml:space="preserve"> αργών</w:t>
      </w:r>
      <w:r w:rsidR="0031466F">
        <w:rPr>
          <w:rFonts w:ascii="Arial" w:hAnsi="Arial" w:cs="Arial"/>
          <w:sz w:val="20"/>
          <w:szCs w:val="20"/>
        </w:rPr>
        <w:t xml:space="preserve">. </w:t>
      </w:r>
      <w:r w:rsidR="00A079AF">
        <w:rPr>
          <w:rFonts w:ascii="Arial" w:hAnsi="Arial" w:cs="Arial"/>
          <w:sz w:val="20"/>
          <w:szCs w:val="20"/>
        </w:rPr>
        <w:t>Τ</w:t>
      </w:r>
      <w:r w:rsidR="00ED3ECB" w:rsidRPr="009F2A44">
        <w:rPr>
          <w:rFonts w:ascii="Arial" w:hAnsi="Arial" w:cs="Arial"/>
          <w:sz w:val="20"/>
          <w:szCs w:val="20"/>
        </w:rPr>
        <w:t xml:space="preserve">α ενδεικτικά περιθώρια διύλισης Μεσογείου </w:t>
      </w:r>
      <w:r w:rsidR="00ED3ECB" w:rsidRPr="009F2A44">
        <w:rPr>
          <w:rFonts w:ascii="Arial" w:hAnsi="Arial" w:cs="Arial"/>
          <w:sz w:val="20"/>
          <w:szCs w:val="20"/>
          <w:lang w:val="en-GB"/>
        </w:rPr>
        <w:t>FCC</w:t>
      </w:r>
      <w:r w:rsidR="00ED3ECB" w:rsidRPr="009F2A44">
        <w:rPr>
          <w:rFonts w:ascii="Arial" w:hAnsi="Arial" w:cs="Arial"/>
          <w:sz w:val="20"/>
          <w:szCs w:val="20"/>
        </w:rPr>
        <w:t xml:space="preserve"> ανήλθαν στα $</w:t>
      </w:r>
      <w:r w:rsidR="0031466F">
        <w:rPr>
          <w:rFonts w:ascii="Arial" w:hAnsi="Arial" w:cs="Arial"/>
          <w:sz w:val="20"/>
          <w:szCs w:val="20"/>
        </w:rPr>
        <w:t>4</w:t>
      </w:r>
      <w:r w:rsidR="00ED3ECB" w:rsidRPr="009F2A44">
        <w:rPr>
          <w:rFonts w:ascii="Arial" w:hAnsi="Arial" w:cs="Arial"/>
          <w:sz w:val="20"/>
          <w:szCs w:val="20"/>
        </w:rPr>
        <w:t>,</w:t>
      </w:r>
      <w:r w:rsidR="0031466F">
        <w:rPr>
          <w:rFonts w:ascii="Arial" w:hAnsi="Arial" w:cs="Arial"/>
          <w:sz w:val="20"/>
          <w:szCs w:val="20"/>
        </w:rPr>
        <w:t>7</w:t>
      </w:r>
      <w:r w:rsidR="00ED3ECB" w:rsidRPr="009F2A44">
        <w:rPr>
          <w:rFonts w:ascii="Arial" w:hAnsi="Arial" w:cs="Arial"/>
          <w:sz w:val="20"/>
          <w:szCs w:val="20"/>
        </w:rPr>
        <w:t>/</w:t>
      </w:r>
      <w:proofErr w:type="spellStart"/>
      <w:r w:rsidR="00ED3ECB" w:rsidRPr="009F2A44">
        <w:rPr>
          <w:rFonts w:ascii="Arial" w:hAnsi="Arial" w:cs="Arial"/>
          <w:sz w:val="20"/>
          <w:szCs w:val="20"/>
          <w:lang w:val="en-GB"/>
        </w:rPr>
        <w:t>bbl</w:t>
      </w:r>
      <w:proofErr w:type="spellEnd"/>
      <w:r w:rsidR="00A079AF">
        <w:rPr>
          <w:rFonts w:ascii="Arial" w:hAnsi="Arial" w:cs="Arial"/>
          <w:sz w:val="20"/>
          <w:szCs w:val="20"/>
        </w:rPr>
        <w:t>, χαμηλότερα σε σχέση με πέρυσι</w:t>
      </w:r>
      <w:r w:rsidR="00ED3ECB" w:rsidRPr="009F2A44">
        <w:rPr>
          <w:rFonts w:ascii="Arial" w:hAnsi="Arial" w:cs="Arial"/>
          <w:sz w:val="20"/>
          <w:szCs w:val="20"/>
        </w:rPr>
        <w:t xml:space="preserve"> ($</w:t>
      </w:r>
      <w:r w:rsidR="0031466F">
        <w:rPr>
          <w:rFonts w:ascii="Arial" w:hAnsi="Arial" w:cs="Arial"/>
          <w:sz w:val="20"/>
          <w:szCs w:val="20"/>
        </w:rPr>
        <w:t>7</w:t>
      </w:r>
      <w:r w:rsidR="00ED3ECB" w:rsidRPr="009F2A44">
        <w:rPr>
          <w:rFonts w:ascii="Arial" w:hAnsi="Arial" w:cs="Arial"/>
          <w:sz w:val="20"/>
          <w:szCs w:val="20"/>
        </w:rPr>
        <w:t>,</w:t>
      </w:r>
      <w:r w:rsidR="0031466F">
        <w:rPr>
          <w:rFonts w:ascii="Arial" w:hAnsi="Arial" w:cs="Arial"/>
          <w:sz w:val="20"/>
          <w:szCs w:val="20"/>
        </w:rPr>
        <w:t>3</w:t>
      </w:r>
      <w:r w:rsidR="00ED3ECB" w:rsidRPr="009F2A44">
        <w:rPr>
          <w:rFonts w:ascii="Arial" w:hAnsi="Arial" w:cs="Arial"/>
          <w:sz w:val="20"/>
          <w:szCs w:val="20"/>
        </w:rPr>
        <w:t>/</w:t>
      </w:r>
      <w:proofErr w:type="spellStart"/>
      <w:r w:rsidR="00ED3ECB" w:rsidRPr="009F2A44">
        <w:rPr>
          <w:rFonts w:ascii="Arial" w:hAnsi="Arial" w:cs="Arial"/>
          <w:sz w:val="20"/>
          <w:szCs w:val="20"/>
          <w:lang w:val="en-GB"/>
        </w:rPr>
        <w:t>bbl</w:t>
      </w:r>
      <w:proofErr w:type="spellEnd"/>
      <w:r w:rsidR="00ED3ECB" w:rsidRPr="009F2A44">
        <w:rPr>
          <w:rFonts w:ascii="Arial" w:hAnsi="Arial" w:cs="Arial"/>
          <w:sz w:val="20"/>
          <w:szCs w:val="20"/>
        </w:rPr>
        <w:t>) ενώ τα περιθώρια Η</w:t>
      </w:r>
      <w:proofErr w:type="spellStart"/>
      <w:r w:rsidR="00ED3ECB" w:rsidRPr="009F2A44">
        <w:rPr>
          <w:rFonts w:ascii="Arial" w:hAnsi="Arial" w:cs="Arial"/>
          <w:sz w:val="20"/>
          <w:szCs w:val="20"/>
          <w:lang w:val="en-GB"/>
        </w:rPr>
        <w:t>ydrocracking</w:t>
      </w:r>
      <w:proofErr w:type="spellEnd"/>
      <w:r w:rsidR="00ED3ECB" w:rsidRPr="009F2A44">
        <w:rPr>
          <w:rFonts w:ascii="Arial" w:hAnsi="Arial" w:cs="Arial"/>
          <w:sz w:val="20"/>
          <w:szCs w:val="20"/>
        </w:rPr>
        <w:t xml:space="preserve"> κυμάνθηκαν στα $</w:t>
      </w:r>
      <w:r w:rsidR="00A079AF">
        <w:rPr>
          <w:rFonts w:ascii="Arial" w:hAnsi="Arial" w:cs="Arial"/>
          <w:sz w:val="20"/>
          <w:szCs w:val="20"/>
        </w:rPr>
        <w:t>5</w:t>
      </w:r>
      <w:r w:rsidR="00ED3ECB" w:rsidRPr="009F2A44">
        <w:rPr>
          <w:rFonts w:ascii="Arial" w:hAnsi="Arial" w:cs="Arial"/>
          <w:sz w:val="20"/>
          <w:szCs w:val="20"/>
        </w:rPr>
        <w:t>,</w:t>
      </w:r>
      <w:r w:rsidR="0031466F">
        <w:rPr>
          <w:rFonts w:ascii="Arial" w:hAnsi="Arial" w:cs="Arial"/>
          <w:sz w:val="20"/>
          <w:szCs w:val="20"/>
        </w:rPr>
        <w:t>1</w:t>
      </w:r>
      <w:r w:rsidR="00ED3ECB" w:rsidRPr="009F2A44">
        <w:rPr>
          <w:rFonts w:ascii="Arial" w:hAnsi="Arial" w:cs="Arial"/>
          <w:sz w:val="20"/>
          <w:szCs w:val="20"/>
        </w:rPr>
        <w:t>/</w:t>
      </w:r>
      <w:proofErr w:type="spellStart"/>
      <w:r w:rsidR="00ED3ECB" w:rsidRPr="009F2A44">
        <w:rPr>
          <w:rFonts w:ascii="Arial" w:hAnsi="Arial" w:cs="Arial"/>
          <w:sz w:val="20"/>
          <w:szCs w:val="20"/>
          <w:lang w:val="en-GB"/>
        </w:rPr>
        <w:t>bbl</w:t>
      </w:r>
      <w:proofErr w:type="spellEnd"/>
      <w:r w:rsidR="00ED3ECB" w:rsidRPr="009F2A44">
        <w:rPr>
          <w:rFonts w:ascii="Arial" w:hAnsi="Arial" w:cs="Arial"/>
          <w:sz w:val="20"/>
          <w:szCs w:val="20"/>
        </w:rPr>
        <w:t xml:space="preserve"> ($</w:t>
      </w:r>
      <w:r w:rsidR="0031466F">
        <w:rPr>
          <w:rFonts w:ascii="Arial" w:hAnsi="Arial" w:cs="Arial"/>
          <w:sz w:val="20"/>
          <w:szCs w:val="20"/>
        </w:rPr>
        <w:t>5</w:t>
      </w:r>
      <w:r w:rsidR="00A079AF">
        <w:rPr>
          <w:rFonts w:ascii="Arial" w:hAnsi="Arial" w:cs="Arial"/>
          <w:sz w:val="20"/>
          <w:szCs w:val="20"/>
        </w:rPr>
        <w:t>,</w:t>
      </w:r>
      <w:r w:rsidR="0031466F">
        <w:rPr>
          <w:rFonts w:ascii="Arial" w:hAnsi="Arial" w:cs="Arial"/>
          <w:sz w:val="20"/>
          <w:szCs w:val="20"/>
        </w:rPr>
        <w:t>8</w:t>
      </w:r>
      <w:r w:rsidR="00ED3ECB" w:rsidRPr="009F2A44">
        <w:rPr>
          <w:rFonts w:ascii="Arial" w:hAnsi="Arial" w:cs="Arial"/>
          <w:sz w:val="20"/>
          <w:szCs w:val="20"/>
        </w:rPr>
        <w:t>/</w:t>
      </w:r>
      <w:proofErr w:type="spellStart"/>
      <w:r w:rsidR="00ED3ECB" w:rsidRPr="009F2A44">
        <w:rPr>
          <w:rFonts w:ascii="Arial" w:hAnsi="Arial" w:cs="Arial"/>
          <w:sz w:val="20"/>
          <w:szCs w:val="20"/>
          <w:lang w:val="en-GB"/>
        </w:rPr>
        <w:t>bbl</w:t>
      </w:r>
      <w:proofErr w:type="spellEnd"/>
      <w:r w:rsidR="00ED3ECB" w:rsidRPr="009F2A44">
        <w:rPr>
          <w:rFonts w:ascii="Arial" w:hAnsi="Arial" w:cs="Arial"/>
          <w:sz w:val="20"/>
          <w:szCs w:val="20"/>
        </w:rPr>
        <w:t>)</w:t>
      </w:r>
      <w:r w:rsidR="0009538D">
        <w:rPr>
          <w:rFonts w:ascii="Arial" w:hAnsi="Arial" w:cs="Arial"/>
          <w:sz w:val="20"/>
          <w:szCs w:val="20"/>
        </w:rPr>
        <w:t>.</w:t>
      </w:r>
    </w:p>
    <w:p w:rsidR="00CA2786" w:rsidRPr="00CA2786" w:rsidRDefault="00CA2786" w:rsidP="00CA2786">
      <w:pPr>
        <w:spacing w:before="120" w:after="120" w:line="360" w:lineRule="auto"/>
        <w:jc w:val="both"/>
        <w:rPr>
          <w:rFonts w:ascii="Arial" w:hAnsi="Arial" w:cs="Arial"/>
          <w:b/>
          <w:sz w:val="20"/>
          <w:szCs w:val="20"/>
        </w:rPr>
      </w:pPr>
      <w:r>
        <w:rPr>
          <w:rFonts w:ascii="Arial" w:hAnsi="Arial" w:cs="Arial"/>
          <w:b/>
          <w:sz w:val="20"/>
          <w:szCs w:val="20"/>
        </w:rPr>
        <w:t xml:space="preserve">Μείωση ζήτησης </w:t>
      </w:r>
      <w:r w:rsidRPr="00CA2786">
        <w:rPr>
          <w:rFonts w:ascii="Arial" w:hAnsi="Arial" w:cs="Arial"/>
          <w:b/>
          <w:sz w:val="20"/>
          <w:szCs w:val="20"/>
        </w:rPr>
        <w:t xml:space="preserve">στην εγχώρια αγορά </w:t>
      </w:r>
      <w:r>
        <w:rPr>
          <w:rFonts w:ascii="Arial" w:hAnsi="Arial" w:cs="Arial"/>
          <w:b/>
          <w:sz w:val="20"/>
          <w:szCs w:val="20"/>
        </w:rPr>
        <w:t xml:space="preserve">καυσίμων </w:t>
      </w:r>
    </w:p>
    <w:p w:rsidR="00D4574B" w:rsidRDefault="00CA2786" w:rsidP="001E247E">
      <w:pPr>
        <w:spacing w:before="120" w:after="120" w:line="360" w:lineRule="auto"/>
        <w:jc w:val="both"/>
        <w:rPr>
          <w:rFonts w:ascii="Arial" w:hAnsi="Arial" w:cs="Arial"/>
          <w:sz w:val="20"/>
          <w:szCs w:val="20"/>
        </w:rPr>
      </w:pPr>
      <w:r>
        <w:rPr>
          <w:rFonts w:ascii="Arial" w:hAnsi="Arial" w:cs="Arial"/>
          <w:sz w:val="20"/>
          <w:szCs w:val="20"/>
        </w:rPr>
        <w:t>Η</w:t>
      </w:r>
      <w:r w:rsidRPr="00CA2786">
        <w:rPr>
          <w:rFonts w:ascii="Arial" w:hAnsi="Arial" w:cs="Arial"/>
          <w:sz w:val="20"/>
          <w:szCs w:val="20"/>
        </w:rPr>
        <w:t xml:space="preserve"> </w:t>
      </w:r>
      <w:r w:rsidR="009220CA">
        <w:rPr>
          <w:rFonts w:ascii="Arial" w:hAnsi="Arial" w:cs="Arial"/>
          <w:sz w:val="20"/>
          <w:szCs w:val="20"/>
        </w:rPr>
        <w:t>ζήτηση</w:t>
      </w:r>
      <w:r w:rsidR="009220CA" w:rsidRPr="00CA2786">
        <w:rPr>
          <w:rFonts w:ascii="Arial" w:hAnsi="Arial" w:cs="Arial"/>
          <w:sz w:val="20"/>
          <w:szCs w:val="20"/>
        </w:rPr>
        <w:t xml:space="preserve"> </w:t>
      </w:r>
      <w:r w:rsidRPr="00CA2786">
        <w:rPr>
          <w:rFonts w:ascii="Arial" w:hAnsi="Arial" w:cs="Arial"/>
          <w:sz w:val="20"/>
          <w:szCs w:val="20"/>
        </w:rPr>
        <w:t>στην</w:t>
      </w:r>
      <w:r w:rsidR="001F0EC7" w:rsidRPr="001F0EC7">
        <w:rPr>
          <w:rFonts w:ascii="Arial" w:hAnsi="Arial" w:cs="Arial"/>
          <w:sz w:val="20"/>
          <w:szCs w:val="20"/>
        </w:rPr>
        <w:t xml:space="preserve"> </w:t>
      </w:r>
      <w:r w:rsidRPr="00CA2786">
        <w:rPr>
          <w:rFonts w:ascii="Arial" w:hAnsi="Arial" w:cs="Arial"/>
          <w:sz w:val="20"/>
          <w:szCs w:val="20"/>
        </w:rPr>
        <w:t xml:space="preserve">εσωτερική αγορά </w:t>
      </w:r>
      <w:r w:rsidR="00797E64" w:rsidRPr="006D54AA">
        <w:rPr>
          <w:rFonts w:ascii="Arial" w:hAnsi="Arial" w:cs="Arial"/>
          <w:sz w:val="20"/>
          <w:szCs w:val="20"/>
        </w:rPr>
        <w:t>καυσίμων</w:t>
      </w:r>
      <w:r w:rsidR="005D789B">
        <w:rPr>
          <w:rFonts w:ascii="Arial" w:hAnsi="Arial" w:cs="Arial"/>
          <w:sz w:val="20"/>
          <w:szCs w:val="20"/>
        </w:rPr>
        <w:t>,</w:t>
      </w:r>
      <w:r w:rsidR="005D789B" w:rsidRPr="005D789B">
        <w:rPr>
          <w:rFonts w:ascii="Arial" w:hAnsi="Arial" w:cs="Arial"/>
          <w:sz w:val="20"/>
          <w:szCs w:val="20"/>
        </w:rPr>
        <w:t xml:space="preserve"> </w:t>
      </w:r>
      <w:r w:rsidR="005D789B">
        <w:rPr>
          <w:rFonts w:ascii="Arial" w:hAnsi="Arial" w:cs="Arial"/>
          <w:sz w:val="20"/>
          <w:szCs w:val="20"/>
        </w:rPr>
        <w:t xml:space="preserve">σύμφωνα με τα </w:t>
      </w:r>
      <w:r w:rsidR="005D789B" w:rsidRPr="00CA2786">
        <w:rPr>
          <w:rFonts w:ascii="Arial" w:hAnsi="Arial" w:cs="Arial"/>
          <w:sz w:val="20"/>
          <w:szCs w:val="20"/>
        </w:rPr>
        <w:t>επίσημα στοιχεία</w:t>
      </w:r>
      <w:r w:rsidR="005D789B">
        <w:rPr>
          <w:rFonts w:ascii="Arial" w:hAnsi="Arial" w:cs="Arial"/>
          <w:sz w:val="20"/>
          <w:szCs w:val="20"/>
        </w:rPr>
        <w:t>,</w:t>
      </w:r>
      <w:r w:rsidR="00D4574B" w:rsidRPr="00D4574B">
        <w:rPr>
          <w:rFonts w:ascii="Arial" w:hAnsi="Arial" w:cs="Arial"/>
          <w:sz w:val="20"/>
          <w:szCs w:val="20"/>
        </w:rPr>
        <w:t xml:space="preserve"> </w:t>
      </w:r>
      <w:r w:rsidR="00D4574B">
        <w:rPr>
          <w:rFonts w:ascii="Arial" w:hAnsi="Arial" w:cs="Arial"/>
          <w:sz w:val="20"/>
          <w:szCs w:val="20"/>
        </w:rPr>
        <w:t>σημείωσε πτώση 3,9%</w:t>
      </w:r>
      <w:r w:rsidR="00797E64">
        <w:rPr>
          <w:rFonts w:ascii="Arial" w:hAnsi="Arial" w:cs="Arial"/>
          <w:sz w:val="20"/>
          <w:szCs w:val="20"/>
        </w:rPr>
        <w:t xml:space="preserve"> </w:t>
      </w:r>
      <w:r w:rsidR="00D4574B">
        <w:rPr>
          <w:rFonts w:ascii="Arial" w:hAnsi="Arial" w:cs="Arial"/>
          <w:sz w:val="20"/>
          <w:szCs w:val="20"/>
        </w:rPr>
        <w:t>στο σύνολο του Α’ εξαμήνου 2016 έναντι του 2015, στο δε Β΄ τρίμηνο του 2016 η πτώση περιορίστηκε στο 0,4% με συνολικό όγκο κατανάλωσης</w:t>
      </w:r>
      <w:r w:rsidRPr="00CA2786">
        <w:rPr>
          <w:rFonts w:ascii="Arial" w:hAnsi="Arial" w:cs="Arial"/>
          <w:sz w:val="20"/>
          <w:szCs w:val="20"/>
        </w:rPr>
        <w:t xml:space="preserve"> 1,</w:t>
      </w:r>
      <w:r w:rsidR="009B7326">
        <w:rPr>
          <w:rFonts w:ascii="Arial" w:hAnsi="Arial" w:cs="Arial"/>
          <w:sz w:val="20"/>
          <w:szCs w:val="20"/>
        </w:rPr>
        <w:t>6</w:t>
      </w:r>
      <w:r w:rsidRPr="00CA2786">
        <w:rPr>
          <w:rFonts w:ascii="Arial" w:hAnsi="Arial" w:cs="Arial"/>
          <w:sz w:val="20"/>
          <w:szCs w:val="20"/>
        </w:rPr>
        <w:t xml:space="preserve"> εκατ. τόνους</w:t>
      </w:r>
      <w:r w:rsidR="009B7326">
        <w:rPr>
          <w:rFonts w:ascii="Arial" w:hAnsi="Arial" w:cs="Arial"/>
          <w:sz w:val="20"/>
          <w:szCs w:val="20"/>
        </w:rPr>
        <w:t xml:space="preserve">. </w:t>
      </w:r>
      <w:r w:rsidR="00D4574B">
        <w:rPr>
          <w:rFonts w:ascii="Arial" w:hAnsi="Arial" w:cs="Arial"/>
          <w:sz w:val="20"/>
          <w:szCs w:val="20"/>
        </w:rPr>
        <w:t xml:space="preserve">Η αδασμολόγητη αγορά σημείωσε επίσης πτώση 3,1% στο σύνολο του Α’ εξαμήνου. </w:t>
      </w:r>
    </w:p>
    <w:p w:rsidR="00C035C1" w:rsidRDefault="005D789B" w:rsidP="001E247E">
      <w:pPr>
        <w:spacing w:before="120" w:after="120" w:line="360" w:lineRule="auto"/>
        <w:jc w:val="both"/>
        <w:rPr>
          <w:rFonts w:ascii="Arial" w:hAnsi="Arial" w:cs="Arial"/>
          <w:b/>
          <w:sz w:val="20"/>
          <w:szCs w:val="20"/>
        </w:rPr>
      </w:pPr>
      <w:r>
        <w:rPr>
          <w:rFonts w:ascii="Arial" w:hAnsi="Arial" w:cs="Arial"/>
          <w:sz w:val="20"/>
          <w:szCs w:val="20"/>
        </w:rPr>
        <w:t>Η</w:t>
      </w:r>
      <w:r w:rsidR="009B7326">
        <w:rPr>
          <w:rFonts w:ascii="Arial" w:hAnsi="Arial" w:cs="Arial"/>
          <w:sz w:val="20"/>
          <w:szCs w:val="20"/>
        </w:rPr>
        <w:t xml:space="preserve"> κατανάλωση καυσίμων κίνησης σημείωσε υποχώρηση, λόγω της μείωσης στη ζήτηση βενζίνης κατά 5%, ενώ η ζήτηση για ντίζελ ενισχύθηκε κατά 1%. </w:t>
      </w:r>
      <w:r w:rsidR="00603751">
        <w:rPr>
          <w:rFonts w:ascii="Arial" w:hAnsi="Arial" w:cs="Arial"/>
          <w:sz w:val="20"/>
          <w:szCs w:val="20"/>
        </w:rPr>
        <w:t xml:space="preserve">Θα πρέπει να σημειωθεί ότι η σύγκριση με το περσινό αντίστοιχο τρίμηνο, επηρεάζεται και από την αυξημένη κατανάλωση που παρουσίασε ο Ιούνιος 2015 λόγω επιβολής </w:t>
      </w:r>
      <w:r w:rsidR="00603751">
        <w:rPr>
          <w:rFonts w:ascii="Arial" w:hAnsi="Arial" w:cs="Arial"/>
          <w:sz w:val="20"/>
          <w:szCs w:val="20"/>
          <w:lang w:val="en-US"/>
        </w:rPr>
        <w:t>capital</w:t>
      </w:r>
      <w:r w:rsidR="00603751" w:rsidRPr="00184AD4">
        <w:rPr>
          <w:rFonts w:ascii="Arial" w:hAnsi="Arial" w:cs="Arial"/>
          <w:sz w:val="20"/>
          <w:szCs w:val="20"/>
        </w:rPr>
        <w:t xml:space="preserve"> </w:t>
      </w:r>
      <w:r w:rsidR="00603751">
        <w:rPr>
          <w:rFonts w:ascii="Arial" w:hAnsi="Arial" w:cs="Arial"/>
          <w:sz w:val="20"/>
          <w:szCs w:val="20"/>
          <w:lang w:val="en-US"/>
        </w:rPr>
        <w:t>control</w:t>
      </w:r>
      <w:r w:rsidR="00603751" w:rsidRPr="00603751">
        <w:rPr>
          <w:rFonts w:ascii="Arial" w:hAnsi="Arial" w:cs="Arial"/>
          <w:sz w:val="20"/>
          <w:szCs w:val="20"/>
        </w:rPr>
        <w:t>s</w:t>
      </w:r>
      <w:r w:rsidR="00691449">
        <w:rPr>
          <w:rFonts w:ascii="Arial" w:hAnsi="Arial" w:cs="Arial"/>
          <w:sz w:val="20"/>
          <w:szCs w:val="20"/>
        </w:rPr>
        <w:t>, ενώ αναμένεται επίπτωση και στη συγκρισιμότητα του Γ’ Τριμήνου, λόγω της σημαντικής υποχώρησης στη ζήτηση τον Ιούλιο και Αύγουστο του 2015.</w:t>
      </w:r>
    </w:p>
    <w:p w:rsidR="00FE0CA6" w:rsidRPr="00A2644D" w:rsidRDefault="00712B47" w:rsidP="001E247E">
      <w:pPr>
        <w:spacing w:before="120" w:after="120" w:line="360" w:lineRule="auto"/>
        <w:jc w:val="both"/>
        <w:rPr>
          <w:rFonts w:ascii="Arial" w:hAnsi="Arial" w:cs="Arial"/>
          <w:b/>
          <w:sz w:val="20"/>
          <w:szCs w:val="20"/>
        </w:rPr>
      </w:pPr>
      <w:r w:rsidRPr="00A2644D">
        <w:rPr>
          <w:rFonts w:ascii="Arial" w:hAnsi="Arial" w:cs="Arial"/>
          <w:b/>
          <w:sz w:val="20"/>
          <w:szCs w:val="20"/>
        </w:rPr>
        <w:t>Ισχυρά</w:t>
      </w:r>
      <w:r w:rsidR="00E966C5" w:rsidRPr="00A2644D">
        <w:rPr>
          <w:rFonts w:ascii="Arial" w:hAnsi="Arial" w:cs="Arial"/>
          <w:b/>
          <w:sz w:val="20"/>
          <w:szCs w:val="20"/>
        </w:rPr>
        <w:t xml:space="preserve"> λειτουργικά </w:t>
      </w:r>
      <w:r w:rsidR="000C2137" w:rsidRPr="00A2644D">
        <w:rPr>
          <w:rFonts w:ascii="Arial" w:hAnsi="Arial" w:cs="Arial"/>
          <w:b/>
          <w:sz w:val="20"/>
          <w:szCs w:val="20"/>
        </w:rPr>
        <w:t>αποτελ</w:t>
      </w:r>
      <w:r w:rsidR="00E966C5" w:rsidRPr="00A2644D">
        <w:rPr>
          <w:rFonts w:ascii="Arial" w:hAnsi="Arial" w:cs="Arial"/>
          <w:b/>
          <w:sz w:val="20"/>
          <w:szCs w:val="20"/>
        </w:rPr>
        <w:t>έ</w:t>
      </w:r>
      <w:r w:rsidR="000C2137" w:rsidRPr="00A2644D">
        <w:rPr>
          <w:rFonts w:ascii="Arial" w:hAnsi="Arial" w:cs="Arial"/>
          <w:b/>
          <w:sz w:val="20"/>
          <w:szCs w:val="20"/>
        </w:rPr>
        <w:t>σμ</w:t>
      </w:r>
      <w:r w:rsidR="00E966C5" w:rsidRPr="00A2644D">
        <w:rPr>
          <w:rFonts w:ascii="Arial" w:hAnsi="Arial" w:cs="Arial"/>
          <w:b/>
          <w:sz w:val="20"/>
          <w:szCs w:val="20"/>
        </w:rPr>
        <w:t>α</w:t>
      </w:r>
      <w:r w:rsidR="000C2137" w:rsidRPr="00A2644D">
        <w:rPr>
          <w:rFonts w:ascii="Arial" w:hAnsi="Arial" w:cs="Arial"/>
          <w:b/>
          <w:sz w:val="20"/>
          <w:szCs w:val="20"/>
        </w:rPr>
        <w:t>τ</w:t>
      </w:r>
      <w:r w:rsidR="00E966C5" w:rsidRPr="00A2644D">
        <w:rPr>
          <w:rFonts w:ascii="Arial" w:hAnsi="Arial" w:cs="Arial"/>
          <w:b/>
          <w:sz w:val="20"/>
          <w:szCs w:val="20"/>
        </w:rPr>
        <w:t>α</w:t>
      </w:r>
    </w:p>
    <w:p w:rsidR="00197BA2" w:rsidRPr="002E1E1F" w:rsidRDefault="00596033" w:rsidP="005C0503">
      <w:pPr>
        <w:spacing w:before="120" w:after="120" w:line="360" w:lineRule="auto"/>
        <w:jc w:val="both"/>
        <w:rPr>
          <w:rFonts w:ascii="Arial" w:hAnsi="Arial" w:cs="Arial"/>
          <w:sz w:val="20"/>
          <w:szCs w:val="20"/>
        </w:rPr>
      </w:pPr>
      <w:r>
        <w:rPr>
          <w:rFonts w:ascii="Arial" w:hAnsi="Arial" w:cs="Arial"/>
          <w:sz w:val="20"/>
          <w:szCs w:val="20"/>
        </w:rPr>
        <w:t xml:space="preserve">Η υψηλή διαθεσιμότητα </w:t>
      </w:r>
      <w:r w:rsidR="005D789B">
        <w:rPr>
          <w:rFonts w:ascii="Arial" w:hAnsi="Arial" w:cs="Arial"/>
          <w:sz w:val="20"/>
          <w:szCs w:val="20"/>
        </w:rPr>
        <w:t>κ</w:t>
      </w:r>
      <w:r>
        <w:rPr>
          <w:rFonts w:ascii="Arial" w:hAnsi="Arial" w:cs="Arial"/>
          <w:sz w:val="20"/>
          <w:szCs w:val="20"/>
        </w:rPr>
        <w:t xml:space="preserve">αι </w:t>
      </w:r>
      <w:r w:rsidR="006D796C">
        <w:rPr>
          <w:rFonts w:ascii="Arial" w:hAnsi="Arial" w:cs="Arial"/>
          <w:sz w:val="20"/>
          <w:szCs w:val="20"/>
        </w:rPr>
        <w:t xml:space="preserve">η </w:t>
      </w:r>
      <w:r w:rsidR="00603751">
        <w:rPr>
          <w:rFonts w:ascii="Arial" w:hAnsi="Arial" w:cs="Arial"/>
          <w:sz w:val="20"/>
          <w:szCs w:val="20"/>
        </w:rPr>
        <w:t>αυξημένη παραγωγή</w:t>
      </w:r>
      <w:r>
        <w:rPr>
          <w:rFonts w:ascii="Arial" w:hAnsi="Arial" w:cs="Arial"/>
          <w:sz w:val="20"/>
          <w:szCs w:val="20"/>
        </w:rPr>
        <w:t xml:space="preserve"> των </w:t>
      </w:r>
      <w:r w:rsidR="00603751">
        <w:rPr>
          <w:rFonts w:ascii="Arial" w:hAnsi="Arial" w:cs="Arial"/>
          <w:sz w:val="20"/>
          <w:szCs w:val="20"/>
        </w:rPr>
        <w:t xml:space="preserve">διυλιστηρίων </w:t>
      </w:r>
      <w:r>
        <w:rPr>
          <w:rFonts w:ascii="Arial" w:hAnsi="Arial" w:cs="Arial"/>
          <w:sz w:val="20"/>
          <w:szCs w:val="20"/>
        </w:rPr>
        <w:t>του Ομίλου</w:t>
      </w:r>
      <w:r w:rsidR="000E6827">
        <w:rPr>
          <w:rFonts w:ascii="Arial" w:hAnsi="Arial" w:cs="Arial"/>
          <w:sz w:val="20"/>
          <w:szCs w:val="20"/>
        </w:rPr>
        <w:t xml:space="preserve"> </w:t>
      </w:r>
      <w:r w:rsidR="00603751">
        <w:rPr>
          <w:rFonts w:ascii="Arial" w:hAnsi="Arial" w:cs="Arial"/>
          <w:sz w:val="20"/>
          <w:szCs w:val="20"/>
        </w:rPr>
        <w:t xml:space="preserve">είναι </w:t>
      </w:r>
      <w:r w:rsidR="000E6827">
        <w:rPr>
          <w:rFonts w:ascii="Arial" w:hAnsi="Arial" w:cs="Arial"/>
          <w:sz w:val="20"/>
          <w:szCs w:val="20"/>
        </w:rPr>
        <w:t>ο βασικός παράγοντας βελτίωσης της λειτουργικής κερδοφορίας σε σχέση με πέρυσι.</w:t>
      </w:r>
      <w:r>
        <w:rPr>
          <w:rFonts w:ascii="Arial" w:hAnsi="Arial" w:cs="Arial"/>
          <w:sz w:val="20"/>
          <w:szCs w:val="20"/>
        </w:rPr>
        <w:t xml:space="preserve"> </w:t>
      </w:r>
      <w:r w:rsidR="000E6827">
        <w:rPr>
          <w:rFonts w:ascii="Arial" w:hAnsi="Arial" w:cs="Arial"/>
          <w:sz w:val="20"/>
          <w:szCs w:val="20"/>
        </w:rPr>
        <w:t>Όλα</w:t>
      </w:r>
      <w:r w:rsidR="00486681">
        <w:rPr>
          <w:rFonts w:ascii="Arial" w:hAnsi="Arial" w:cs="Arial"/>
          <w:sz w:val="20"/>
          <w:szCs w:val="20"/>
        </w:rPr>
        <w:t xml:space="preserve"> τ</w:t>
      </w:r>
      <w:r w:rsidR="00B622D7">
        <w:rPr>
          <w:rFonts w:ascii="Arial" w:hAnsi="Arial" w:cs="Arial"/>
          <w:sz w:val="20"/>
          <w:szCs w:val="20"/>
        </w:rPr>
        <w:t xml:space="preserve">α διυλιστήρια </w:t>
      </w:r>
      <w:r w:rsidR="00486681">
        <w:rPr>
          <w:rFonts w:ascii="Arial" w:hAnsi="Arial" w:cs="Arial"/>
          <w:sz w:val="20"/>
          <w:szCs w:val="20"/>
        </w:rPr>
        <w:t>του Ομίλου</w:t>
      </w:r>
      <w:r w:rsidR="002F1EEB" w:rsidRPr="002F1EEB">
        <w:rPr>
          <w:rFonts w:ascii="Arial" w:hAnsi="Arial" w:cs="Arial"/>
          <w:sz w:val="20"/>
          <w:szCs w:val="20"/>
        </w:rPr>
        <w:t xml:space="preserve"> </w:t>
      </w:r>
      <w:r w:rsidR="002F1EEB">
        <w:rPr>
          <w:rFonts w:ascii="Arial" w:hAnsi="Arial" w:cs="Arial"/>
          <w:sz w:val="20"/>
          <w:szCs w:val="20"/>
        </w:rPr>
        <w:t>σημείωσαν αύξηση παραγωγής και περ</w:t>
      </w:r>
      <w:r w:rsidR="00D27EFD">
        <w:rPr>
          <w:rFonts w:ascii="Arial" w:hAnsi="Arial" w:cs="Arial"/>
          <w:sz w:val="20"/>
          <w:szCs w:val="20"/>
        </w:rPr>
        <w:t>αιτέρω</w:t>
      </w:r>
      <w:r w:rsidR="002F1EEB">
        <w:rPr>
          <w:rFonts w:ascii="Arial" w:hAnsi="Arial" w:cs="Arial"/>
          <w:sz w:val="20"/>
          <w:szCs w:val="20"/>
        </w:rPr>
        <w:t xml:space="preserve"> βελτίωση στην απόδοση τους (</w:t>
      </w:r>
      <w:r w:rsidR="002F1EEB">
        <w:rPr>
          <w:rFonts w:ascii="Arial" w:hAnsi="Arial" w:cs="Arial"/>
          <w:sz w:val="20"/>
          <w:szCs w:val="20"/>
          <w:lang w:val="en-US"/>
        </w:rPr>
        <w:t>over</w:t>
      </w:r>
      <w:r w:rsidR="002F1EEB" w:rsidRPr="00D16E38">
        <w:rPr>
          <w:rFonts w:ascii="Arial" w:hAnsi="Arial" w:cs="Arial"/>
          <w:sz w:val="20"/>
          <w:szCs w:val="20"/>
        </w:rPr>
        <w:t xml:space="preserve"> </w:t>
      </w:r>
      <w:r w:rsidR="002F1EEB">
        <w:rPr>
          <w:rFonts w:ascii="Arial" w:hAnsi="Arial" w:cs="Arial"/>
          <w:sz w:val="20"/>
          <w:szCs w:val="20"/>
          <w:lang w:val="en-US"/>
        </w:rPr>
        <w:t>performance</w:t>
      </w:r>
      <w:r w:rsidR="002F1EEB" w:rsidRPr="00D16E38">
        <w:rPr>
          <w:rFonts w:ascii="Arial" w:hAnsi="Arial" w:cs="Arial"/>
          <w:sz w:val="20"/>
          <w:szCs w:val="20"/>
        </w:rPr>
        <w:t xml:space="preserve">) </w:t>
      </w:r>
      <w:r w:rsidR="002F1EEB">
        <w:rPr>
          <w:rFonts w:ascii="Arial" w:hAnsi="Arial" w:cs="Arial"/>
          <w:sz w:val="20"/>
          <w:szCs w:val="20"/>
        </w:rPr>
        <w:t>έναντι των αντίστοιχων διεθνών περιθωρίων.</w:t>
      </w:r>
      <w:r w:rsidR="00B622D7">
        <w:rPr>
          <w:rFonts w:ascii="Arial" w:hAnsi="Arial" w:cs="Arial"/>
          <w:sz w:val="20"/>
          <w:szCs w:val="20"/>
        </w:rPr>
        <w:t xml:space="preserve"> </w:t>
      </w:r>
      <w:r w:rsidR="002F1EEB">
        <w:rPr>
          <w:rFonts w:ascii="Arial" w:hAnsi="Arial" w:cs="Arial"/>
          <w:sz w:val="20"/>
          <w:szCs w:val="20"/>
        </w:rPr>
        <w:t xml:space="preserve">Οι </w:t>
      </w:r>
      <w:r w:rsidR="00603751">
        <w:rPr>
          <w:rFonts w:ascii="Arial" w:hAnsi="Arial" w:cs="Arial"/>
          <w:sz w:val="20"/>
          <w:szCs w:val="20"/>
        </w:rPr>
        <w:t xml:space="preserve">εγκαταστάσεις Ασπροπύργου και Ελευσίνας </w:t>
      </w:r>
      <w:r w:rsidR="002F1EEB">
        <w:rPr>
          <w:rFonts w:ascii="Arial" w:hAnsi="Arial" w:cs="Arial"/>
          <w:sz w:val="20"/>
          <w:szCs w:val="20"/>
        </w:rPr>
        <w:t xml:space="preserve">έχουν </w:t>
      </w:r>
      <w:r w:rsidR="00603751">
        <w:rPr>
          <w:rFonts w:ascii="Arial" w:hAnsi="Arial" w:cs="Arial"/>
          <w:sz w:val="20"/>
          <w:szCs w:val="20"/>
        </w:rPr>
        <w:t>πρόσφατα ολοκληρώσει εκτεταμένα προγράμματα συντήρησης,</w:t>
      </w:r>
      <w:r w:rsidR="001F0EC7" w:rsidRPr="001F0EC7">
        <w:rPr>
          <w:rFonts w:ascii="Arial" w:hAnsi="Arial" w:cs="Arial"/>
          <w:sz w:val="20"/>
          <w:szCs w:val="20"/>
        </w:rPr>
        <w:t xml:space="preserve"> </w:t>
      </w:r>
      <w:bookmarkStart w:id="0" w:name="_GoBack"/>
      <w:bookmarkEnd w:id="0"/>
      <w:r w:rsidR="002F1EEB">
        <w:rPr>
          <w:rFonts w:ascii="Arial" w:hAnsi="Arial" w:cs="Arial"/>
          <w:sz w:val="20"/>
          <w:szCs w:val="20"/>
        </w:rPr>
        <w:t xml:space="preserve">το δε </w:t>
      </w:r>
      <w:r w:rsidR="00486681">
        <w:rPr>
          <w:rFonts w:ascii="Arial" w:hAnsi="Arial" w:cs="Arial"/>
          <w:sz w:val="20"/>
          <w:szCs w:val="20"/>
        </w:rPr>
        <w:t>διυλιστήριο Θεσσαλονίκης προγραμματίζει σταμάτημα για εκτεταμένο πρόγραμμα εργασιών συντήρησης (</w:t>
      </w:r>
      <w:r w:rsidR="00486681">
        <w:rPr>
          <w:rFonts w:ascii="Arial" w:hAnsi="Arial" w:cs="Arial"/>
          <w:sz w:val="20"/>
          <w:szCs w:val="20"/>
          <w:lang w:val="en-GB"/>
        </w:rPr>
        <w:t>full</w:t>
      </w:r>
      <w:r w:rsidR="00486681" w:rsidRPr="00486681">
        <w:rPr>
          <w:rFonts w:ascii="Arial" w:hAnsi="Arial" w:cs="Arial"/>
          <w:sz w:val="20"/>
          <w:szCs w:val="20"/>
        </w:rPr>
        <w:t xml:space="preserve"> </w:t>
      </w:r>
      <w:r w:rsidR="00486681">
        <w:rPr>
          <w:rFonts w:ascii="Arial" w:hAnsi="Arial" w:cs="Arial"/>
          <w:sz w:val="20"/>
          <w:szCs w:val="20"/>
          <w:lang w:val="en-GB"/>
        </w:rPr>
        <w:t>turnaround</w:t>
      </w:r>
      <w:r w:rsidR="00486681" w:rsidRPr="00486681">
        <w:rPr>
          <w:rFonts w:ascii="Arial" w:hAnsi="Arial" w:cs="Arial"/>
          <w:sz w:val="20"/>
          <w:szCs w:val="20"/>
        </w:rPr>
        <w:t>)</w:t>
      </w:r>
      <w:r w:rsidR="00486681">
        <w:rPr>
          <w:rFonts w:ascii="Arial" w:hAnsi="Arial" w:cs="Arial"/>
          <w:sz w:val="20"/>
          <w:szCs w:val="20"/>
        </w:rPr>
        <w:t xml:space="preserve"> το Δ’ </w:t>
      </w:r>
      <w:r w:rsidR="000A38D0">
        <w:rPr>
          <w:rFonts w:ascii="Arial" w:hAnsi="Arial" w:cs="Arial"/>
          <w:sz w:val="20"/>
          <w:szCs w:val="20"/>
        </w:rPr>
        <w:t>Τρίμηνο</w:t>
      </w:r>
      <w:r w:rsidR="00486681">
        <w:rPr>
          <w:rFonts w:ascii="Arial" w:hAnsi="Arial" w:cs="Arial"/>
          <w:sz w:val="20"/>
          <w:szCs w:val="20"/>
        </w:rPr>
        <w:t xml:space="preserve"> 2016.</w:t>
      </w:r>
      <w:r w:rsidR="0026248D">
        <w:rPr>
          <w:rFonts w:ascii="Arial" w:hAnsi="Arial" w:cs="Arial"/>
          <w:sz w:val="20"/>
          <w:szCs w:val="20"/>
        </w:rPr>
        <w:t xml:space="preserve"> </w:t>
      </w:r>
    </w:p>
    <w:p w:rsidR="005C0503" w:rsidRPr="00356463" w:rsidRDefault="002D44B9" w:rsidP="005C0503">
      <w:pPr>
        <w:spacing w:before="120" w:after="120" w:line="360" w:lineRule="auto"/>
        <w:jc w:val="both"/>
        <w:rPr>
          <w:rFonts w:ascii="Arial" w:hAnsi="Arial" w:cs="Arial"/>
          <w:sz w:val="20"/>
          <w:szCs w:val="20"/>
        </w:rPr>
      </w:pPr>
      <w:r>
        <w:rPr>
          <w:rFonts w:ascii="Arial" w:hAnsi="Arial" w:cs="Arial"/>
          <w:sz w:val="20"/>
          <w:szCs w:val="20"/>
        </w:rPr>
        <w:t>Η</w:t>
      </w:r>
      <w:r w:rsidR="00486681">
        <w:rPr>
          <w:rFonts w:ascii="Arial" w:hAnsi="Arial" w:cs="Arial"/>
          <w:sz w:val="20"/>
          <w:szCs w:val="20"/>
        </w:rPr>
        <w:t xml:space="preserve"> αυξημένη διαθεσιμότητα και παραγωγή της μονάδας </w:t>
      </w:r>
      <w:r w:rsidR="00486681">
        <w:rPr>
          <w:rFonts w:ascii="Arial" w:hAnsi="Arial" w:cs="Arial"/>
          <w:sz w:val="20"/>
          <w:szCs w:val="20"/>
          <w:lang w:val="en-GB"/>
        </w:rPr>
        <w:t>splitter</w:t>
      </w:r>
      <w:r w:rsidR="00486681" w:rsidRPr="00486681">
        <w:rPr>
          <w:rFonts w:ascii="Arial" w:hAnsi="Arial" w:cs="Arial"/>
          <w:sz w:val="20"/>
          <w:szCs w:val="20"/>
        </w:rPr>
        <w:t xml:space="preserve"> </w:t>
      </w:r>
      <w:r w:rsidR="00486681">
        <w:rPr>
          <w:rFonts w:ascii="Arial" w:hAnsi="Arial" w:cs="Arial"/>
          <w:sz w:val="20"/>
          <w:szCs w:val="20"/>
        </w:rPr>
        <w:t xml:space="preserve">του Ασπροπύργου </w:t>
      </w:r>
      <w:r w:rsidR="00603751">
        <w:rPr>
          <w:rFonts w:ascii="Arial" w:hAnsi="Arial" w:cs="Arial"/>
          <w:sz w:val="20"/>
          <w:szCs w:val="20"/>
        </w:rPr>
        <w:t xml:space="preserve">συνετέλεσαν στην </w:t>
      </w:r>
      <w:r w:rsidR="005C0503">
        <w:rPr>
          <w:rFonts w:ascii="Arial" w:hAnsi="Arial" w:cs="Arial"/>
          <w:sz w:val="20"/>
          <w:szCs w:val="20"/>
        </w:rPr>
        <w:t>αύξηση πωλήσεων</w:t>
      </w:r>
      <w:r>
        <w:rPr>
          <w:rFonts w:ascii="Arial" w:hAnsi="Arial" w:cs="Arial"/>
          <w:sz w:val="20"/>
          <w:szCs w:val="20"/>
        </w:rPr>
        <w:t xml:space="preserve"> </w:t>
      </w:r>
      <w:r w:rsidR="000919CC">
        <w:rPr>
          <w:rFonts w:ascii="Arial" w:hAnsi="Arial" w:cs="Arial"/>
          <w:sz w:val="20"/>
          <w:szCs w:val="20"/>
        </w:rPr>
        <w:t>και</w:t>
      </w:r>
      <w:r w:rsidR="0090762A">
        <w:rPr>
          <w:rFonts w:ascii="Arial" w:hAnsi="Arial" w:cs="Arial"/>
          <w:sz w:val="20"/>
          <w:szCs w:val="20"/>
        </w:rPr>
        <w:t xml:space="preserve"> βελτίωση</w:t>
      </w:r>
      <w:r w:rsidR="000919CC">
        <w:rPr>
          <w:rFonts w:ascii="Arial" w:hAnsi="Arial" w:cs="Arial"/>
          <w:sz w:val="20"/>
          <w:szCs w:val="20"/>
        </w:rPr>
        <w:t xml:space="preserve"> των</w:t>
      </w:r>
      <w:r w:rsidR="000919CC" w:rsidRPr="00356463">
        <w:rPr>
          <w:rFonts w:ascii="Arial" w:hAnsi="Arial" w:cs="Arial"/>
          <w:sz w:val="20"/>
          <w:szCs w:val="20"/>
        </w:rPr>
        <w:t xml:space="preserve"> </w:t>
      </w:r>
      <w:r>
        <w:rPr>
          <w:rFonts w:ascii="Arial" w:hAnsi="Arial" w:cs="Arial"/>
          <w:sz w:val="20"/>
          <w:szCs w:val="20"/>
        </w:rPr>
        <w:t>αποτελ</w:t>
      </w:r>
      <w:r w:rsidR="0090762A">
        <w:rPr>
          <w:rFonts w:ascii="Arial" w:hAnsi="Arial" w:cs="Arial"/>
          <w:sz w:val="20"/>
          <w:szCs w:val="20"/>
        </w:rPr>
        <w:t>ε</w:t>
      </w:r>
      <w:r>
        <w:rPr>
          <w:rFonts w:ascii="Arial" w:hAnsi="Arial" w:cs="Arial"/>
          <w:sz w:val="20"/>
          <w:szCs w:val="20"/>
        </w:rPr>
        <w:t>σμ</w:t>
      </w:r>
      <w:r w:rsidR="0090762A">
        <w:rPr>
          <w:rFonts w:ascii="Arial" w:hAnsi="Arial" w:cs="Arial"/>
          <w:sz w:val="20"/>
          <w:szCs w:val="20"/>
        </w:rPr>
        <w:t>ά</w:t>
      </w:r>
      <w:r>
        <w:rPr>
          <w:rFonts w:ascii="Arial" w:hAnsi="Arial" w:cs="Arial"/>
          <w:sz w:val="20"/>
          <w:szCs w:val="20"/>
        </w:rPr>
        <w:t>τ</w:t>
      </w:r>
      <w:r w:rsidR="0090762A">
        <w:rPr>
          <w:rFonts w:ascii="Arial" w:hAnsi="Arial" w:cs="Arial"/>
          <w:sz w:val="20"/>
          <w:szCs w:val="20"/>
        </w:rPr>
        <w:t>ων</w:t>
      </w:r>
      <w:r>
        <w:rPr>
          <w:rFonts w:ascii="Arial" w:hAnsi="Arial" w:cs="Arial"/>
          <w:sz w:val="20"/>
          <w:szCs w:val="20"/>
        </w:rPr>
        <w:t xml:space="preserve"> </w:t>
      </w:r>
      <w:r w:rsidRPr="00356463">
        <w:rPr>
          <w:rFonts w:ascii="Arial" w:hAnsi="Arial" w:cs="Arial"/>
          <w:sz w:val="20"/>
          <w:szCs w:val="20"/>
        </w:rPr>
        <w:t>των Πετροχημικών</w:t>
      </w:r>
      <w:r w:rsidR="006D796C">
        <w:rPr>
          <w:rFonts w:ascii="Arial" w:hAnsi="Arial" w:cs="Arial"/>
          <w:sz w:val="20"/>
          <w:szCs w:val="20"/>
        </w:rPr>
        <w:t>.</w:t>
      </w:r>
    </w:p>
    <w:p w:rsidR="005C0503" w:rsidRDefault="000919CC" w:rsidP="005C0503">
      <w:pPr>
        <w:spacing w:before="120" w:after="120" w:line="360" w:lineRule="auto"/>
        <w:jc w:val="both"/>
        <w:rPr>
          <w:rFonts w:ascii="Arial" w:hAnsi="Arial" w:cs="Arial"/>
          <w:sz w:val="20"/>
          <w:szCs w:val="20"/>
        </w:rPr>
      </w:pPr>
      <w:r>
        <w:rPr>
          <w:rFonts w:ascii="Arial" w:hAnsi="Arial" w:cs="Arial"/>
          <w:sz w:val="20"/>
          <w:szCs w:val="20"/>
        </w:rPr>
        <w:lastRenderedPageBreak/>
        <w:t xml:space="preserve">Αντίθετα, η </w:t>
      </w:r>
      <w:r w:rsidR="00BA4E69">
        <w:rPr>
          <w:rFonts w:ascii="Arial" w:hAnsi="Arial" w:cs="Arial"/>
          <w:sz w:val="20"/>
          <w:szCs w:val="20"/>
        </w:rPr>
        <w:t xml:space="preserve">υποχώρηση της ζήτησης για καύσιμα κίνησης στην εγχώρια αγορά και η </w:t>
      </w:r>
      <w:r>
        <w:rPr>
          <w:rFonts w:ascii="Arial" w:hAnsi="Arial" w:cs="Arial"/>
          <w:sz w:val="20"/>
          <w:szCs w:val="20"/>
        </w:rPr>
        <w:t xml:space="preserve">διαμόρφωση χαμηλότερων περιθωρίων </w:t>
      </w:r>
      <w:r w:rsidR="00BA4E69">
        <w:rPr>
          <w:rFonts w:ascii="Arial" w:hAnsi="Arial" w:cs="Arial"/>
          <w:sz w:val="20"/>
          <w:szCs w:val="20"/>
        </w:rPr>
        <w:t>σ</w:t>
      </w:r>
      <w:r>
        <w:rPr>
          <w:rFonts w:ascii="Arial" w:hAnsi="Arial" w:cs="Arial"/>
          <w:sz w:val="20"/>
          <w:szCs w:val="20"/>
        </w:rPr>
        <w:t xml:space="preserve">ε ορισμένες αγορές </w:t>
      </w:r>
      <w:r w:rsidR="00BA4E69">
        <w:rPr>
          <w:rFonts w:ascii="Arial" w:hAnsi="Arial" w:cs="Arial"/>
          <w:sz w:val="20"/>
          <w:szCs w:val="20"/>
        </w:rPr>
        <w:t xml:space="preserve">των Βαλκανίων, </w:t>
      </w:r>
      <w:r w:rsidR="007E7EB6">
        <w:rPr>
          <w:rFonts w:ascii="Arial" w:hAnsi="Arial" w:cs="Arial"/>
          <w:sz w:val="20"/>
          <w:szCs w:val="20"/>
        </w:rPr>
        <w:t>επηρέασαν</w:t>
      </w:r>
      <w:r w:rsidR="00BA4E69">
        <w:rPr>
          <w:rFonts w:ascii="Arial" w:hAnsi="Arial" w:cs="Arial"/>
          <w:sz w:val="20"/>
          <w:szCs w:val="20"/>
        </w:rPr>
        <w:t xml:space="preserve"> </w:t>
      </w:r>
      <w:r w:rsidR="00177112">
        <w:rPr>
          <w:rFonts w:ascii="Arial" w:hAnsi="Arial" w:cs="Arial"/>
          <w:sz w:val="20"/>
          <w:szCs w:val="20"/>
        </w:rPr>
        <w:t xml:space="preserve">την κερδοφορία της </w:t>
      </w:r>
      <w:r w:rsidR="00CA2444">
        <w:rPr>
          <w:rFonts w:ascii="Arial" w:hAnsi="Arial" w:cs="Arial"/>
          <w:sz w:val="20"/>
          <w:szCs w:val="20"/>
        </w:rPr>
        <w:t>Λ</w:t>
      </w:r>
      <w:r w:rsidR="003334AF">
        <w:rPr>
          <w:rFonts w:ascii="Arial" w:hAnsi="Arial" w:cs="Arial"/>
          <w:sz w:val="20"/>
          <w:szCs w:val="20"/>
        </w:rPr>
        <w:t xml:space="preserve">ιανικής </w:t>
      </w:r>
      <w:r w:rsidR="007E7EB6">
        <w:rPr>
          <w:rFonts w:ascii="Arial" w:hAnsi="Arial" w:cs="Arial"/>
          <w:sz w:val="20"/>
          <w:szCs w:val="20"/>
        </w:rPr>
        <w:t>Ε</w:t>
      </w:r>
      <w:r w:rsidR="00177112">
        <w:rPr>
          <w:rFonts w:ascii="Arial" w:hAnsi="Arial" w:cs="Arial"/>
          <w:sz w:val="20"/>
          <w:szCs w:val="20"/>
        </w:rPr>
        <w:t>μπορίας</w:t>
      </w:r>
      <w:r w:rsidR="003334AF">
        <w:rPr>
          <w:rFonts w:ascii="Arial" w:hAnsi="Arial" w:cs="Arial"/>
          <w:sz w:val="20"/>
          <w:szCs w:val="20"/>
        </w:rPr>
        <w:t xml:space="preserve"> στην Ελλάδα και </w:t>
      </w:r>
      <w:r>
        <w:rPr>
          <w:rFonts w:ascii="Arial" w:hAnsi="Arial" w:cs="Arial"/>
          <w:sz w:val="20"/>
          <w:szCs w:val="20"/>
        </w:rPr>
        <w:t>των θυγατρικών στο εξωτερικό</w:t>
      </w:r>
      <w:r w:rsidR="00BA4E69">
        <w:rPr>
          <w:rFonts w:ascii="Arial" w:hAnsi="Arial" w:cs="Arial"/>
          <w:sz w:val="20"/>
          <w:szCs w:val="20"/>
        </w:rPr>
        <w:t>.</w:t>
      </w:r>
    </w:p>
    <w:p w:rsidR="00665B5F" w:rsidRDefault="0025528C" w:rsidP="001E247E">
      <w:pPr>
        <w:spacing w:before="120" w:after="120" w:line="360" w:lineRule="auto"/>
        <w:jc w:val="both"/>
        <w:rPr>
          <w:rFonts w:ascii="Arial" w:hAnsi="Arial" w:cs="Arial"/>
          <w:sz w:val="20"/>
          <w:szCs w:val="20"/>
        </w:rPr>
      </w:pPr>
      <w:r>
        <w:rPr>
          <w:rFonts w:ascii="Arial" w:hAnsi="Arial" w:cs="Arial"/>
          <w:sz w:val="20"/>
          <w:szCs w:val="20"/>
        </w:rPr>
        <w:t>Στις 16 Μαΐου</w:t>
      </w:r>
      <w:r w:rsidRPr="009A069F">
        <w:rPr>
          <w:rFonts w:ascii="Arial" w:hAnsi="Arial" w:cs="Arial"/>
          <w:sz w:val="20"/>
          <w:szCs w:val="20"/>
        </w:rPr>
        <w:t xml:space="preserve"> 2016</w:t>
      </w:r>
      <w:r>
        <w:rPr>
          <w:rFonts w:ascii="Arial" w:hAnsi="Arial" w:cs="Arial"/>
          <w:sz w:val="20"/>
          <w:szCs w:val="20"/>
        </w:rPr>
        <w:t xml:space="preserve"> ο Όμιλος αποπλήρωσε το ομόλογο ύψους $400 εκ.</w:t>
      </w:r>
      <w:r w:rsidR="00DA398D">
        <w:rPr>
          <w:rFonts w:ascii="Arial" w:hAnsi="Arial" w:cs="Arial"/>
          <w:sz w:val="20"/>
          <w:szCs w:val="20"/>
        </w:rPr>
        <w:t xml:space="preserve"> και στη συνέχεια </w:t>
      </w:r>
      <w:r w:rsidR="00B42445">
        <w:rPr>
          <w:rFonts w:ascii="Arial" w:hAnsi="Arial" w:cs="Arial"/>
          <w:sz w:val="20"/>
          <w:szCs w:val="20"/>
        </w:rPr>
        <w:t>προχώρησε το</w:t>
      </w:r>
      <w:r w:rsidR="00DA398D">
        <w:rPr>
          <w:rFonts w:ascii="Arial" w:hAnsi="Arial" w:cs="Arial"/>
          <w:sz w:val="20"/>
          <w:szCs w:val="20"/>
        </w:rPr>
        <w:t xml:space="preserve">ν Ιούνιο </w:t>
      </w:r>
      <w:r w:rsidR="0090762A">
        <w:rPr>
          <w:rFonts w:ascii="Arial" w:hAnsi="Arial" w:cs="Arial"/>
          <w:sz w:val="20"/>
          <w:szCs w:val="20"/>
        </w:rPr>
        <w:t xml:space="preserve">του </w:t>
      </w:r>
      <w:r w:rsidR="00DA398D">
        <w:rPr>
          <w:rFonts w:ascii="Arial" w:hAnsi="Arial" w:cs="Arial"/>
          <w:sz w:val="20"/>
          <w:szCs w:val="20"/>
        </w:rPr>
        <w:t>2016</w:t>
      </w:r>
      <w:r w:rsidR="00B42445">
        <w:rPr>
          <w:rFonts w:ascii="Arial" w:hAnsi="Arial" w:cs="Arial"/>
          <w:sz w:val="20"/>
          <w:szCs w:val="20"/>
        </w:rPr>
        <w:t xml:space="preserve"> στην εναρμόνιση </w:t>
      </w:r>
      <w:r w:rsidR="00DA398D">
        <w:rPr>
          <w:rFonts w:ascii="Arial" w:hAnsi="Arial" w:cs="Arial"/>
          <w:sz w:val="20"/>
          <w:szCs w:val="20"/>
        </w:rPr>
        <w:t xml:space="preserve">των </w:t>
      </w:r>
      <w:r w:rsidR="003334AF">
        <w:rPr>
          <w:rFonts w:ascii="Arial" w:hAnsi="Arial" w:cs="Arial"/>
          <w:sz w:val="20"/>
          <w:szCs w:val="20"/>
        </w:rPr>
        <w:t xml:space="preserve">όρων </w:t>
      </w:r>
      <w:r w:rsidR="00DA398D">
        <w:rPr>
          <w:rFonts w:ascii="Arial" w:hAnsi="Arial" w:cs="Arial"/>
          <w:sz w:val="20"/>
          <w:szCs w:val="20"/>
        </w:rPr>
        <w:t>δανεισμού</w:t>
      </w:r>
      <w:r w:rsidR="003334AF">
        <w:rPr>
          <w:rFonts w:ascii="Arial" w:hAnsi="Arial" w:cs="Arial"/>
          <w:sz w:val="20"/>
          <w:szCs w:val="20"/>
        </w:rPr>
        <w:t xml:space="preserve"> για τους χρηματοοικονομικούς δείκτες </w:t>
      </w:r>
      <w:r w:rsidR="00B42445">
        <w:rPr>
          <w:rFonts w:ascii="Arial" w:hAnsi="Arial" w:cs="Arial"/>
          <w:sz w:val="20"/>
          <w:szCs w:val="20"/>
        </w:rPr>
        <w:t xml:space="preserve">μεταξύ των δύο ευρωομολόγων (λήξης 2017 και 2019), καθώς και με τις υπόλοιπες δανειακές συμβάσεις με εμπορικές τράπεζες που φέρουν αντίστοιχους όρους. </w:t>
      </w:r>
      <w:r w:rsidR="007E7EB6">
        <w:rPr>
          <w:rFonts w:ascii="Arial" w:hAnsi="Arial" w:cs="Arial"/>
          <w:sz w:val="20"/>
          <w:szCs w:val="20"/>
        </w:rPr>
        <w:t>Ε</w:t>
      </w:r>
      <w:r>
        <w:rPr>
          <w:rFonts w:ascii="Arial" w:hAnsi="Arial" w:cs="Arial"/>
          <w:sz w:val="20"/>
          <w:szCs w:val="20"/>
        </w:rPr>
        <w:t xml:space="preserve">ντός του 2016 και </w:t>
      </w:r>
      <w:r w:rsidR="000A38D0">
        <w:rPr>
          <w:rFonts w:ascii="Arial" w:hAnsi="Arial" w:cs="Arial"/>
          <w:sz w:val="20"/>
          <w:szCs w:val="20"/>
        </w:rPr>
        <w:t>αναλόγως των</w:t>
      </w:r>
      <w:r>
        <w:rPr>
          <w:rFonts w:ascii="Arial" w:hAnsi="Arial" w:cs="Arial"/>
          <w:sz w:val="20"/>
          <w:szCs w:val="20"/>
        </w:rPr>
        <w:t xml:space="preserve"> </w:t>
      </w:r>
      <w:r w:rsidR="000A38D0">
        <w:rPr>
          <w:rFonts w:ascii="Arial" w:hAnsi="Arial" w:cs="Arial"/>
          <w:sz w:val="20"/>
          <w:szCs w:val="20"/>
        </w:rPr>
        <w:t xml:space="preserve">συνθηκών </w:t>
      </w:r>
      <w:r>
        <w:rPr>
          <w:rFonts w:ascii="Arial" w:hAnsi="Arial" w:cs="Arial"/>
          <w:sz w:val="20"/>
          <w:szCs w:val="20"/>
        </w:rPr>
        <w:t>στις διεθνείς κεφαλαιαγορές, ο Όμιλος σχεδιάζει την αναχρηματοδότηση του ευρωομολόγου λήξης 2017.</w:t>
      </w:r>
    </w:p>
    <w:p w:rsidR="002E1E1F" w:rsidRPr="002E1E1F" w:rsidRDefault="0025528C" w:rsidP="001E247E">
      <w:pPr>
        <w:spacing w:before="120" w:after="120" w:line="360" w:lineRule="auto"/>
        <w:jc w:val="both"/>
        <w:rPr>
          <w:rFonts w:ascii="Arial" w:hAnsi="Arial" w:cs="Arial"/>
          <w:sz w:val="20"/>
          <w:szCs w:val="20"/>
        </w:rPr>
      </w:pPr>
      <w:r>
        <w:rPr>
          <w:rFonts w:ascii="Arial" w:hAnsi="Arial" w:cs="Arial"/>
          <w:sz w:val="20"/>
          <w:szCs w:val="20"/>
        </w:rPr>
        <w:t>Ο ισολογισμός του Ομίλου παρουσιάζει</w:t>
      </w:r>
      <w:r w:rsidR="00712BBE">
        <w:rPr>
          <w:rFonts w:ascii="Arial" w:hAnsi="Arial" w:cs="Arial"/>
          <w:sz w:val="20"/>
          <w:szCs w:val="20"/>
        </w:rPr>
        <w:t xml:space="preserve"> επίσης</w:t>
      </w:r>
      <w:r>
        <w:rPr>
          <w:rFonts w:ascii="Arial" w:hAnsi="Arial" w:cs="Arial"/>
          <w:sz w:val="20"/>
          <w:szCs w:val="20"/>
        </w:rPr>
        <w:t xml:space="preserve"> βελτίωση, με τον Καθαρό Δανεισμό </w:t>
      </w:r>
      <w:r w:rsidR="002E1E1F">
        <w:rPr>
          <w:rFonts w:ascii="Arial" w:hAnsi="Arial" w:cs="Arial"/>
          <w:sz w:val="20"/>
          <w:szCs w:val="20"/>
        </w:rPr>
        <w:t>να ανέρχεται στα €1,7 δισ., κυρίως λόγω της ομαλοποίησης των όρων πίστωσης για προμήθεια αργού</w:t>
      </w:r>
      <w:r w:rsidR="00B42445">
        <w:rPr>
          <w:rFonts w:ascii="Arial" w:hAnsi="Arial" w:cs="Arial"/>
          <w:sz w:val="20"/>
          <w:szCs w:val="20"/>
        </w:rPr>
        <w:t xml:space="preserve"> και των επενδύσεων, καθώς</w:t>
      </w:r>
      <w:r w:rsidR="002E1E1F">
        <w:rPr>
          <w:rFonts w:ascii="Arial" w:hAnsi="Arial" w:cs="Arial"/>
          <w:sz w:val="20"/>
          <w:szCs w:val="20"/>
        </w:rPr>
        <w:t xml:space="preserve"> και</w:t>
      </w:r>
      <w:r w:rsidR="00B42445">
        <w:rPr>
          <w:rFonts w:ascii="Arial" w:hAnsi="Arial" w:cs="Arial"/>
          <w:sz w:val="20"/>
          <w:szCs w:val="20"/>
        </w:rPr>
        <w:t xml:space="preserve"> της πραγματοποίησης</w:t>
      </w:r>
      <w:r w:rsidR="002E1E1F">
        <w:rPr>
          <w:rFonts w:ascii="Arial" w:hAnsi="Arial" w:cs="Arial"/>
          <w:sz w:val="20"/>
          <w:szCs w:val="20"/>
        </w:rPr>
        <w:t xml:space="preserve"> των αρχικών πληρωμών των οφειλών προς τη </w:t>
      </w:r>
      <w:r w:rsidR="002E1E1F">
        <w:rPr>
          <w:rFonts w:ascii="Arial" w:hAnsi="Arial" w:cs="Arial"/>
          <w:sz w:val="20"/>
          <w:szCs w:val="20"/>
          <w:lang w:val="en-GB"/>
        </w:rPr>
        <w:t>NIOC</w:t>
      </w:r>
      <w:r w:rsidR="002E1E1F">
        <w:rPr>
          <w:rFonts w:ascii="Arial" w:hAnsi="Arial" w:cs="Arial"/>
          <w:sz w:val="20"/>
          <w:szCs w:val="20"/>
        </w:rPr>
        <w:t xml:space="preserve">. </w:t>
      </w:r>
    </w:p>
    <w:p w:rsidR="00C33076" w:rsidRPr="00D27EFD" w:rsidRDefault="00C33076" w:rsidP="001E247E">
      <w:pPr>
        <w:spacing w:before="120" w:after="120" w:line="360" w:lineRule="auto"/>
        <w:jc w:val="both"/>
        <w:rPr>
          <w:rFonts w:ascii="Arial" w:hAnsi="Arial" w:cs="Arial"/>
          <w:sz w:val="20"/>
          <w:szCs w:val="20"/>
        </w:rPr>
      </w:pPr>
      <w:r w:rsidRPr="009A069F">
        <w:rPr>
          <w:rFonts w:ascii="Arial" w:hAnsi="Arial" w:cs="Arial"/>
          <w:sz w:val="20"/>
          <w:szCs w:val="20"/>
        </w:rPr>
        <w:t xml:space="preserve">Αναφορικά με την πώληση του 66% του μετοχικού κεφαλαίου του ΔΕΣΦΑ στην εταιρεία </w:t>
      </w:r>
      <w:r w:rsidRPr="009A069F">
        <w:rPr>
          <w:rFonts w:ascii="Arial" w:hAnsi="Arial" w:cs="Arial"/>
          <w:sz w:val="20"/>
          <w:szCs w:val="20"/>
          <w:lang w:val="en-US"/>
        </w:rPr>
        <w:t>SOCAR</w:t>
      </w:r>
      <w:r w:rsidRPr="009A069F">
        <w:rPr>
          <w:rFonts w:ascii="Arial" w:hAnsi="Arial" w:cs="Arial"/>
          <w:sz w:val="20"/>
          <w:szCs w:val="20"/>
        </w:rPr>
        <w:t>,</w:t>
      </w:r>
      <w:r w:rsidR="00E011BE">
        <w:rPr>
          <w:rFonts w:ascii="Arial" w:hAnsi="Arial" w:cs="Arial"/>
          <w:sz w:val="20"/>
          <w:szCs w:val="20"/>
        </w:rPr>
        <w:t xml:space="preserve"> </w:t>
      </w:r>
      <w:r w:rsidR="007619FA">
        <w:rPr>
          <w:rFonts w:ascii="Arial" w:hAnsi="Arial" w:cs="Arial"/>
          <w:sz w:val="20"/>
          <w:szCs w:val="20"/>
        </w:rPr>
        <w:t xml:space="preserve">δεν </w:t>
      </w:r>
      <w:r w:rsidR="00184AD4">
        <w:rPr>
          <w:rFonts w:ascii="Arial" w:hAnsi="Arial" w:cs="Arial"/>
          <w:sz w:val="20"/>
          <w:szCs w:val="20"/>
        </w:rPr>
        <w:t>υπήρξε</w:t>
      </w:r>
      <w:r w:rsidR="007619FA">
        <w:rPr>
          <w:rFonts w:ascii="Arial" w:hAnsi="Arial" w:cs="Arial"/>
          <w:sz w:val="20"/>
          <w:szCs w:val="20"/>
        </w:rPr>
        <w:t xml:space="preserve"> κάποια ουσιαστική διαφοροποίηση στο Β’ Τρίμηνο από πλευράς εγκριτικών διαδικασιών</w:t>
      </w:r>
      <w:r w:rsidR="00123F69" w:rsidRPr="00D27EFD">
        <w:rPr>
          <w:rFonts w:ascii="Arial" w:hAnsi="Arial" w:cs="Arial"/>
          <w:sz w:val="20"/>
          <w:szCs w:val="20"/>
        </w:rPr>
        <w:t>.</w:t>
      </w:r>
    </w:p>
    <w:p w:rsidR="001652BF" w:rsidRPr="00EA77FC" w:rsidRDefault="001652BF" w:rsidP="001E247E">
      <w:pPr>
        <w:spacing w:before="120" w:after="120" w:line="360" w:lineRule="auto"/>
        <w:jc w:val="both"/>
        <w:rPr>
          <w:rFonts w:ascii="Arial" w:hAnsi="Arial" w:cs="Arial"/>
          <w:b/>
          <w:sz w:val="2"/>
          <w:szCs w:val="20"/>
          <w:highlight w:val="yellow"/>
        </w:rPr>
      </w:pPr>
    </w:p>
    <w:p w:rsidR="00A7308A" w:rsidRPr="00EA77FC" w:rsidRDefault="00A7308A" w:rsidP="001E247E">
      <w:pPr>
        <w:spacing w:before="120" w:after="120" w:line="360" w:lineRule="auto"/>
        <w:jc w:val="both"/>
        <w:rPr>
          <w:rFonts w:ascii="Arial" w:hAnsi="Arial" w:cs="Arial"/>
          <w:sz w:val="20"/>
          <w:szCs w:val="20"/>
          <w:highlight w:val="yellow"/>
        </w:rPr>
      </w:pPr>
      <w:r w:rsidRPr="00C37ECA">
        <w:rPr>
          <w:rFonts w:ascii="Arial" w:hAnsi="Arial" w:cs="Arial"/>
          <w:sz w:val="20"/>
          <w:szCs w:val="20"/>
        </w:rPr>
        <w:t xml:space="preserve">Κύρια σημεία των αποτελεσμάτων </w:t>
      </w:r>
      <w:r w:rsidR="002E1E1F">
        <w:rPr>
          <w:rFonts w:ascii="Arial" w:hAnsi="Arial" w:cs="Arial"/>
          <w:sz w:val="20"/>
          <w:szCs w:val="20"/>
        </w:rPr>
        <w:t>Β</w:t>
      </w:r>
      <w:r w:rsidR="005C328A" w:rsidRPr="00C37ECA">
        <w:rPr>
          <w:rFonts w:ascii="Arial" w:hAnsi="Arial" w:cs="Arial"/>
          <w:sz w:val="20"/>
          <w:szCs w:val="20"/>
        </w:rPr>
        <w:t xml:space="preserve">’ </w:t>
      </w:r>
      <w:proofErr w:type="spellStart"/>
      <w:r w:rsidR="005C328A" w:rsidRPr="00C37ECA">
        <w:rPr>
          <w:rFonts w:ascii="Arial" w:hAnsi="Arial" w:cs="Arial"/>
          <w:sz w:val="20"/>
          <w:szCs w:val="20"/>
        </w:rPr>
        <w:t>Τριμ</w:t>
      </w:r>
      <w:proofErr w:type="spellEnd"/>
      <w:r w:rsidR="005C328A" w:rsidRPr="00C37ECA">
        <w:rPr>
          <w:rFonts w:ascii="Arial" w:hAnsi="Arial" w:cs="Arial"/>
          <w:sz w:val="20"/>
          <w:szCs w:val="20"/>
        </w:rPr>
        <w:t>. 201</w:t>
      </w:r>
      <w:r w:rsidR="00C37ECA" w:rsidRPr="00C37ECA">
        <w:rPr>
          <w:rFonts w:ascii="Arial" w:hAnsi="Arial" w:cs="Arial"/>
          <w:sz w:val="20"/>
          <w:szCs w:val="20"/>
        </w:rPr>
        <w:t>6</w:t>
      </w:r>
      <w:r w:rsidR="005C328A" w:rsidRPr="00C37ECA">
        <w:rPr>
          <w:rFonts w:ascii="Arial" w:hAnsi="Arial" w:cs="Arial"/>
          <w:sz w:val="20"/>
          <w:szCs w:val="20"/>
        </w:rPr>
        <w:t xml:space="preserve"> </w:t>
      </w:r>
      <w:r w:rsidR="00456537" w:rsidRPr="00C37ECA">
        <w:rPr>
          <w:rFonts w:ascii="Arial" w:hAnsi="Arial" w:cs="Arial"/>
          <w:sz w:val="20"/>
          <w:szCs w:val="20"/>
        </w:rPr>
        <w:t>για τις επιμέρους επιχειρηματικές δραστηριότητες αναφέρονται πιο κάτω</w:t>
      </w:r>
      <w:r w:rsidRPr="00C37ECA">
        <w:rPr>
          <w:rFonts w:ascii="Arial" w:hAnsi="Arial" w:cs="Arial"/>
          <w:sz w:val="20"/>
          <w:szCs w:val="20"/>
        </w:rPr>
        <w:t>:</w:t>
      </w:r>
    </w:p>
    <w:p w:rsidR="0087781E" w:rsidRPr="00EA77FC" w:rsidRDefault="0087781E" w:rsidP="001E247E">
      <w:pPr>
        <w:spacing w:before="120" w:after="120" w:line="360" w:lineRule="auto"/>
        <w:jc w:val="both"/>
        <w:rPr>
          <w:rFonts w:ascii="Arial" w:hAnsi="Arial" w:cs="Arial"/>
          <w:b/>
          <w:sz w:val="16"/>
          <w:szCs w:val="20"/>
          <w:highlight w:val="yellow"/>
          <w:u w:val="single"/>
        </w:rPr>
      </w:pPr>
    </w:p>
    <w:p w:rsidR="00A7308A" w:rsidRPr="004579F1" w:rsidRDefault="00A7308A" w:rsidP="001E247E">
      <w:pPr>
        <w:spacing w:before="120" w:after="120" w:line="360" w:lineRule="auto"/>
        <w:jc w:val="both"/>
        <w:rPr>
          <w:rFonts w:ascii="Arial" w:hAnsi="Arial" w:cs="Arial"/>
          <w:b/>
          <w:sz w:val="20"/>
          <w:szCs w:val="20"/>
          <w:u w:val="single"/>
        </w:rPr>
      </w:pPr>
      <w:r w:rsidRPr="004579F1">
        <w:rPr>
          <w:rFonts w:ascii="Arial" w:hAnsi="Arial" w:cs="Arial"/>
          <w:b/>
          <w:sz w:val="20"/>
          <w:szCs w:val="20"/>
          <w:u w:val="single"/>
        </w:rPr>
        <w:t xml:space="preserve">ΔΙΥΛΙΣΗ, ΕΦΟΔΙΑΣΜΟΣ &amp; </w:t>
      </w:r>
      <w:r w:rsidR="0002150A">
        <w:rPr>
          <w:rFonts w:ascii="Arial" w:hAnsi="Arial" w:cs="Arial"/>
          <w:b/>
          <w:sz w:val="20"/>
          <w:szCs w:val="20"/>
          <w:u w:val="single"/>
        </w:rPr>
        <w:t>ΠΩΛΗΣΕΙΣ</w:t>
      </w:r>
    </w:p>
    <w:p w:rsidR="00443DAA" w:rsidRPr="004579F1" w:rsidRDefault="00626DC2" w:rsidP="001E247E">
      <w:pPr>
        <w:pStyle w:val="BlockText"/>
        <w:numPr>
          <w:ilvl w:val="0"/>
          <w:numId w:val="2"/>
        </w:numPr>
        <w:snapToGrid w:val="0"/>
        <w:spacing w:before="120" w:after="120" w:line="360" w:lineRule="auto"/>
        <w:ind w:right="0"/>
        <w:rPr>
          <w:sz w:val="20"/>
        </w:rPr>
      </w:pPr>
      <w:r w:rsidRPr="004579F1">
        <w:rPr>
          <w:sz w:val="20"/>
        </w:rPr>
        <w:t>Τ</w:t>
      </w:r>
      <w:r w:rsidR="008F1751" w:rsidRPr="004579F1">
        <w:rPr>
          <w:sz w:val="20"/>
        </w:rPr>
        <w:t xml:space="preserve">ο </w:t>
      </w:r>
      <w:r w:rsidR="002E1E1F">
        <w:rPr>
          <w:sz w:val="20"/>
        </w:rPr>
        <w:t>Β</w:t>
      </w:r>
      <w:r w:rsidR="00B776FB" w:rsidRPr="004579F1">
        <w:rPr>
          <w:sz w:val="20"/>
        </w:rPr>
        <w:t xml:space="preserve">’ </w:t>
      </w:r>
      <w:proofErr w:type="spellStart"/>
      <w:r w:rsidR="00B776FB" w:rsidRPr="004579F1">
        <w:rPr>
          <w:sz w:val="20"/>
        </w:rPr>
        <w:t>Τρίμ</w:t>
      </w:r>
      <w:proofErr w:type="spellEnd"/>
      <w:r w:rsidR="00B776FB" w:rsidRPr="004579F1">
        <w:rPr>
          <w:sz w:val="20"/>
        </w:rPr>
        <w:t>., τ</w:t>
      </w:r>
      <w:r w:rsidRPr="004579F1">
        <w:rPr>
          <w:sz w:val="20"/>
        </w:rPr>
        <w:t xml:space="preserve">α Συγκρίσιμα Κέρδη </w:t>
      </w:r>
      <w:r w:rsidRPr="004579F1">
        <w:rPr>
          <w:sz w:val="20"/>
          <w:lang w:val="en-GB"/>
        </w:rPr>
        <w:t>EBITDA</w:t>
      </w:r>
      <w:r w:rsidRPr="004579F1">
        <w:rPr>
          <w:sz w:val="20"/>
        </w:rPr>
        <w:t xml:space="preserve"> του κλάδου Διύλισης, Εφοδιασμού και </w:t>
      </w:r>
      <w:r w:rsidR="00A60616">
        <w:rPr>
          <w:sz w:val="20"/>
        </w:rPr>
        <w:t>Πωλήσεων</w:t>
      </w:r>
      <w:r w:rsidR="00A60616" w:rsidRPr="004579F1">
        <w:rPr>
          <w:sz w:val="20"/>
        </w:rPr>
        <w:t xml:space="preserve"> </w:t>
      </w:r>
      <w:r w:rsidRPr="004579F1">
        <w:rPr>
          <w:sz w:val="20"/>
        </w:rPr>
        <w:t>ανήλθαν στα €</w:t>
      </w:r>
      <w:r w:rsidR="001F3CD5" w:rsidRPr="004579F1">
        <w:rPr>
          <w:sz w:val="20"/>
        </w:rPr>
        <w:t>1</w:t>
      </w:r>
      <w:r w:rsidR="001F3CD5">
        <w:rPr>
          <w:sz w:val="20"/>
        </w:rPr>
        <w:t>0</w:t>
      </w:r>
      <w:r w:rsidR="001F3CD5" w:rsidRPr="00DA53AD">
        <w:rPr>
          <w:sz w:val="20"/>
        </w:rPr>
        <w:t>7</w:t>
      </w:r>
      <w:r w:rsidR="001F3CD5" w:rsidRPr="004579F1">
        <w:rPr>
          <w:sz w:val="20"/>
        </w:rPr>
        <w:t xml:space="preserve"> </w:t>
      </w:r>
      <w:r w:rsidR="00A272F1" w:rsidRPr="004579F1">
        <w:rPr>
          <w:sz w:val="20"/>
        </w:rPr>
        <w:t>εκατ</w:t>
      </w:r>
      <w:r w:rsidR="008C1978" w:rsidRPr="004579F1">
        <w:rPr>
          <w:sz w:val="20"/>
        </w:rPr>
        <w:t>.</w:t>
      </w:r>
      <w:r w:rsidR="00C035C1">
        <w:rPr>
          <w:sz w:val="20"/>
        </w:rPr>
        <w:t xml:space="preserve">, αυξημένα κατά 35,44% έναντι του </w:t>
      </w:r>
      <w:r w:rsidR="001F40F9">
        <w:rPr>
          <w:sz w:val="20"/>
        </w:rPr>
        <w:t xml:space="preserve">Β’ </w:t>
      </w:r>
      <w:r w:rsidR="00C035C1">
        <w:rPr>
          <w:sz w:val="20"/>
        </w:rPr>
        <w:t>τριμήνου του 201</w:t>
      </w:r>
      <w:r w:rsidR="001F40F9">
        <w:rPr>
          <w:sz w:val="20"/>
        </w:rPr>
        <w:t>5</w:t>
      </w:r>
      <w:r w:rsidR="00C035C1">
        <w:rPr>
          <w:sz w:val="20"/>
        </w:rPr>
        <w:t>.</w:t>
      </w:r>
    </w:p>
    <w:p w:rsidR="009050BA" w:rsidRPr="004579F1" w:rsidRDefault="008C3B2D" w:rsidP="001E247E">
      <w:pPr>
        <w:pStyle w:val="BlockText"/>
        <w:numPr>
          <w:ilvl w:val="0"/>
          <w:numId w:val="2"/>
        </w:numPr>
        <w:snapToGrid w:val="0"/>
        <w:spacing w:before="120" w:after="120" w:line="360" w:lineRule="auto"/>
        <w:ind w:right="0"/>
        <w:rPr>
          <w:sz w:val="20"/>
        </w:rPr>
      </w:pPr>
      <w:r w:rsidRPr="004579F1">
        <w:rPr>
          <w:sz w:val="20"/>
        </w:rPr>
        <w:t>Η παραγωγή των</w:t>
      </w:r>
      <w:r w:rsidR="007062BC" w:rsidRPr="004579F1">
        <w:rPr>
          <w:sz w:val="20"/>
        </w:rPr>
        <w:t xml:space="preserve"> διυλιστ</w:t>
      </w:r>
      <w:r w:rsidRPr="004579F1">
        <w:rPr>
          <w:sz w:val="20"/>
        </w:rPr>
        <w:t>η</w:t>
      </w:r>
      <w:r w:rsidR="007062BC" w:rsidRPr="004579F1">
        <w:rPr>
          <w:sz w:val="20"/>
        </w:rPr>
        <w:t>ρ</w:t>
      </w:r>
      <w:r w:rsidRPr="004579F1">
        <w:rPr>
          <w:sz w:val="20"/>
        </w:rPr>
        <w:t>ίων</w:t>
      </w:r>
      <w:r w:rsidR="007062BC" w:rsidRPr="004579F1">
        <w:rPr>
          <w:sz w:val="20"/>
        </w:rPr>
        <w:t xml:space="preserve"> του Ομίλου</w:t>
      </w:r>
      <w:r w:rsidR="009050BA" w:rsidRPr="004579F1">
        <w:rPr>
          <w:sz w:val="20"/>
        </w:rPr>
        <w:t xml:space="preserve"> ανήλθε στα</w:t>
      </w:r>
      <w:r w:rsidRPr="004579F1">
        <w:rPr>
          <w:sz w:val="20"/>
        </w:rPr>
        <w:t xml:space="preserve"> </w:t>
      </w:r>
      <w:r w:rsidR="00697AAC">
        <w:rPr>
          <w:sz w:val="20"/>
        </w:rPr>
        <w:t>3,7</w:t>
      </w:r>
      <w:r w:rsidRPr="004579F1">
        <w:rPr>
          <w:sz w:val="20"/>
        </w:rPr>
        <w:t xml:space="preserve"> εκατ. τόνους</w:t>
      </w:r>
      <w:r w:rsidR="008F1751" w:rsidRPr="004579F1">
        <w:rPr>
          <w:sz w:val="20"/>
        </w:rPr>
        <w:t xml:space="preserve">, με τις πωλήσεις στα </w:t>
      </w:r>
      <w:r w:rsidR="00697AAC">
        <w:rPr>
          <w:sz w:val="20"/>
        </w:rPr>
        <w:t>3,9</w:t>
      </w:r>
      <w:r w:rsidR="008F1751" w:rsidRPr="004579F1">
        <w:rPr>
          <w:sz w:val="20"/>
        </w:rPr>
        <w:t xml:space="preserve"> εκατ. τόνους</w:t>
      </w:r>
      <w:r w:rsidR="00484DFD">
        <w:rPr>
          <w:sz w:val="20"/>
        </w:rPr>
        <w:t xml:space="preserve">, με διπλασιασμό των </w:t>
      </w:r>
      <w:r w:rsidR="00697AAC">
        <w:rPr>
          <w:sz w:val="20"/>
        </w:rPr>
        <w:t>εξαγωγών σε 2,3</w:t>
      </w:r>
      <w:r w:rsidR="00484DFD">
        <w:rPr>
          <w:sz w:val="20"/>
        </w:rPr>
        <w:t xml:space="preserve"> εκατ. τόνους.</w:t>
      </w:r>
    </w:p>
    <w:p w:rsidR="0010245A" w:rsidRPr="004579F1" w:rsidRDefault="009050BA" w:rsidP="009050BA">
      <w:pPr>
        <w:pStyle w:val="BlockText"/>
        <w:numPr>
          <w:ilvl w:val="0"/>
          <w:numId w:val="2"/>
        </w:numPr>
        <w:snapToGrid w:val="0"/>
        <w:spacing w:before="120" w:after="120" w:line="360" w:lineRule="auto"/>
        <w:ind w:right="0"/>
        <w:rPr>
          <w:sz w:val="20"/>
        </w:rPr>
      </w:pPr>
      <w:r w:rsidRPr="004579F1">
        <w:rPr>
          <w:sz w:val="20"/>
        </w:rPr>
        <w:t>Το</w:t>
      </w:r>
      <w:r w:rsidR="008C3B2D" w:rsidRPr="004579F1">
        <w:rPr>
          <w:sz w:val="20"/>
        </w:rPr>
        <w:t xml:space="preserve"> ποσοστό παραγωγής</w:t>
      </w:r>
      <w:r w:rsidRPr="004579F1">
        <w:rPr>
          <w:sz w:val="20"/>
        </w:rPr>
        <w:t xml:space="preserve"> λευκών προϊόντων</w:t>
      </w:r>
      <w:r w:rsidR="008C3B2D" w:rsidRPr="004579F1">
        <w:rPr>
          <w:sz w:val="20"/>
        </w:rPr>
        <w:t xml:space="preserve"> αν</w:t>
      </w:r>
      <w:r w:rsidRPr="004579F1">
        <w:rPr>
          <w:sz w:val="20"/>
        </w:rPr>
        <w:t>ήλθε</w:t>
      </w:r>
      <w:r w:rsidR="008C3B2D" w:rsidRPr="004579F1">
        <w:rPr>
          <w:sz w:val="20"/>
        </w:rPr>
        <w:t xml:space="preserve"> στο </w:t>
      </w:r>
      <w:r w:rsidR="00A60616">
        <w:rPr>
          <w:sz w:val="20"/>
        </w:rPr>
        <w:t>84</w:t>
      </w:r>
      <w:r w:rsidR="008C3B2D" w:rsidRPr="004579F1">
        <w:rPr>
          <w:sz w:val="20"/>
        </w:rPr>
        <w:t>%</w:t>
      </w:r>
      <w:r w:rsidR="00514E36" w:rsidRPr="009A069F">
        <w:rPr>
          <w:sz w:val="20"/>
        </w:rPr>
        <w:t>.</w:t>
      </w:r>
    </w:p>
    <w:p w:rsidR="00D27EFD" w:rsidRDefault="00D27EFD" w:rsidP="0002150A">
      <w:pPr>
        <w:spacing w:before="120" w:after="120" w:line="360" w:lineRule="auto"/>
        <w:jc w:val="both"/>
        <w:rPr>
          <w:rFonts w:ascii="Arial" w:hAnsi="Arial" w:cs="Arial"/>
          <w:b/>
          <w:sz w:val="20"/>
          <w:szCs w:val="20"/>
          <w:u w:val="single"/>
        </w:rPr>
      </w:pPr>
    </w:p>
    <w:p w:rsidR="0002150A" w:rsidRPr="00A20EB2" w:rsidRDefault="0002150A" w:rsidP="0002150A">
      <w:pPr>
        <w:spacing w:before="120" w:after="120" w:line="360" w:lineRule="auto"/>
        <w:jc w:val="both"/>
        <w:rPr>
          <w:rFonts w:ascii="Arial" w:hAnsi="Arial" w:cs="Arial"/>
          <w:b/>
          <w:sz w:val="20"/>
          <w:szCs w:val="20"/>
          <w:u w:val="single"/>
        </w:rPr>
      </w:pPr>
      <w:r w:rsidRPr="00A20EB2">
        <w:rPr>
          <w:rFonts w:ascii="Arial" w:hAnsi="Arial" w:cs="Arial"/>
          <w:b/>
          <w:sz w:val="20"/>
          <w:szCs w:val="20"/>
          <w:u w:val="single"/>
        </w:rPr>
        <w:t>ΠΕΤΡΟΧΗΜΙΚΑ</w:t>
      </w:r>
    </w:p>
    <w:p w:rsidR="0002150A" w:rsidRPr="00A20EB2" w:rsidRDefault="00B67F2D" w:rsidP="0002150A">
      <w:pPr>
        <w:pStyle w:val="BlockText"/>
        <w:numPr>
          <w:ilvl w:val="0"/>
          <w:numId w:val="4"/>
        </w:numPr>
        <w:snapToGrid w:val="0"/>
        <w:spacing w:before="120" w:after="120" w:line="360" w:lineRule="auto"/>
        <w:rPr>
          <w:sz w:val="20"/>
          <w:szCs w:val="20"/>
        </w:rPr>
      </w:pPr>
      <w:r>
        <w:rPr>
          <w:sz w:val="20"/>
          <w:szCs w:val="20"/>
        </w:rPr>
        <w:t xml:space="preserve">Οι αυξημένοι όγκοι παραγωγής και πωλήσεων πολυπροπυλενίου </w:t>
      </w:r>
      <w:r w:rsidR="0002150A" w:rsidRPr="00A20EB2">
        <w:rPr>
          <w:sz w:val="20"/>
          <w:szCs w:val="20"/>
        </w:rPr>
        <w:t xml:space="preserve">οδήγησαν τα συγκρίσιμα </w:t>
      </w:r>
      <w:r w:rsidR="0002150A" w:rsidRPr="00A20EB2">
        <w:rPr>
          <w:sz w:val="20"/>
          <w:szCs w:val="20"/>
          <w:lang w:val="en-GB"/>
        </w:rPr>
        <w:t>EBITDA</w:t>
      </w:r>
      <w:r w:rsidR="0002150A" w:rsidRPr="00A20EB2">
        <w:rPr>
          <w:sz w:val="20"/>
          <w:szCs w:val="20"/>
        </w:rPr>
        <w:t xml:space="preserve"> στα €2</w:t>
      </w:r>
      <w:r w:rsidR="008173E2">
        <w:rPr>
          <w:sz w:val="20"/>
          <w:szCs w:val="20"/>
        </w:rPr>
        <w:t>5</w:t>
      </w:r>
      <w:r w:rsidR="0002150A" w:rsidRPr="00A20EB2">
        <w:rPr>
          <w:sz w:val="20"/>
          <w:szCs w:val="20"/>
        </w:rPr>
        <w:t xml:space="preserve"> εκατ.</w:t>
      </w:r>
      <w:r>
        <w:rPr>
          <w:sz w:val="20"/>
          <w:szCs w:val="20"/>
        </w:rPr>
        <w:t>, παρά τη μείωση των διεθνών περιθωρίων.</w:t>
      </w:r>
      <w:r w:rsidR="0002150A" w:rsidRPr="00A20EB2">
        <w:rPr>
          <w:sz w:val="20"/>
          <w:szCs w:val="20"/>
        </w:rPr>
        <w:t xml:space="preserve"> </w:t>
      </w:r>
    </w:p>
    <w:p w:rsidR="0002150A" w:rsidRPr="00FF21CE" w:rsidRDefault="0002150A" w:rsidP="001E247E">
      <w:pPr>
        <w:spacing w:before="120" w:after="120" w:line="360" w:lineRule="auto"/>
        <w:jc w:val="both"/>
        <w:rPr>
          <w:rFonts w:ascii="Arial" w:hAnsi="Arial" w:cs="Arial"/>
          <w:b/>
          <w:sz w:val="16"/>
          <w:szCs w:val="20"/>
          <w:u w:val="single"/>
        </w:rPr>
      </w:pPr>
    </w:p>
    <w:p w:rsidR="00FF4338" w:rsidRPr="00FF21CE" w:rsidRDefault="00A7308A" w:rsidP="00A3467B">
      <w:pPr>
        <w:spacing w:before="120" w:after="120" w:line="360" w:lineRule="auto"/>
        <w:jc w:val="both"/>
        <w:rPr>
          <w:rFonts w:ascii="Arial" w:hAnsi="Arial" w:cs="Arial"/>
          <w:b/>
          <w:sz w:val="20"/>
          <w:szCs w:val="20"/>
          <w:u w:val="single"/>
        </w:rPr>
      </w:pPr>
      <w:r w:rsidRPr="00FF21CE">
        <w:rPr>
          <w:rFonts w:ascii="Arial" w:hAnsi="Arial" w:cs="Arial"/>
          <w:b/>
          <w:sz w:val="20"/>
          <w:szCs w:val="20"/>
          <w:u w:val="single"/>
        </w:rPr>
        <w:t>ΕΜΠΟΡΙΑ</w:t>
      </w:r>
    </w:p>
    <w:p w:rsidR="0002150A" w:rsidRDefault="0002150A" w:rsidP="002C2AF9">
      <w:pPr>
        <w:pStyle w:val="BlockText"/>
        <w:numPr>
          <w:ilvl w:val="0"/>
          <w:numId w:val="3"/>
        </w:numPr>
        <w:snapToGrid w:val="0"/>
        <w:spacing w:before="120" w:after="120" w:line="360" w:lineRule="auto"/>
        <w:ind w:right="0"/>
        <w:rPr>
          <w:sz w:val="20"/>
        </w:rPr>
      </w:pPr>
      <w:r>
        <w:rPr>
          <w:sz w:val="20"/>
        </w:rPr>
        <w:t xml:space="preserve">Το Συγκρίσιμο </w:t>
      </w:r>
      <w:r>
        <w:rPr>
          <w:sz w:val="20"/>
          <w:lang w:val="en-US"/>
        </w:rPr>
        <w:t>EBITDA</w:t>
      </w:r>
      <w:r>
        <w:rPr>
          <w:sz w:val="20"/>
        </w:rPr>
        <w:t xml:space="preserve"> της Εμπορίας ανήλθε σε €</w:t>
      </w:r>
      <w:r w:rsidR="00B67F2D">
        <w:rPr>
          <w:sz w:val="20"/>
        </w:rPr>
        <w:t>25</w:t>
      </w:r>
      <w:r>
        <w:rPr>
          <w:sz w:val="20"/>
        </w:rPr>
        <w:t xml:space="preserve"> εκατ. έναντι €</w:t>
      </w:r>
      <w:r w:rsidR="00B67F2D">
        <w:rPr>
          <w:sz w:val="20"/>
        </w:rPr>
        <w:t>2</w:t>
      </w:r>
      <w:r w:rsidR="008173E2">
        <w:rPr>
          <w:sz w:val="20"/>
        </w:rPr>
        <w:t>7</w:t>
      </w:r>
      <w:r>
        <w:rPr>
          <w:sz w:val="20"/>
        </w:rPr>
        <w:t xml:space="preserve"> εκατ. της αντίστοιχης περσινής περιόδου. </w:t>
      </w:r>
    </w:p>
    <w:p w:rsidR="0002150A" w:rsidRDefault="00B67F2D" w:rsidP="0002150A">
      <w:pPr>
        <w:pStyle w:val="BlockText"/>
        <w:numPr>
          <w:ilvl w:val="0"/>
          <w:numId w:val="3"/>
        </w:numPr>
        <w:snapToGrid w:val="0"/>
        <w:spacing w:before="120" w:after="120" w:line="360" w:lineRule="auto"/>
        <w:ind w:right="0"/>
        <w:rPr>
          <w:sz w:val="20"/>
        </w:rPr>
      </w:pPr>
      <w:r>
        <w:rPr>
          <w:sz w:val="20"/>
        </w:rPr>
        <w:t>Αύξηση μεριδίων αγοράς στους κλάδους λιανικής, αεροπορίας και ναυτιλίας. Η μείωση όγκων πωλήσεων στο βιομηχανικό τομέα, λόγω ΔΕΗ και η μείωση στη ζήτηση καυσίμων κίνησης επηρέασαν την κερδοφορία της Εγχώριας Εμπορίας, με</w:t>
      </w:r>
      <w:r w:rsidR="0002150A">
        <w:rPr>
          <w:sz w:val="20"/>
        </w:rPr>
        <w:t xml:space="preserve"> το Συγκρίσιμο </w:t>
      </w:r>
      <w:r w:rsidR="0002150A">
        <w:rPr>
          <w:sz w:val="20"/>
          <w:lang w:val="en-US"/>
        </w:rPr>
        <w:t>EBITDA</w:t>
      </w:r>
      <w:r w:rsidR="0002150A" w:rsidRPr="00CD6D74">
        <w:rPr>
          <w:sz w:val="20"/>
        </w:rPr>
        <w:t xml:space="preserve"> </w:t>
      </w:r>
      <w:r w:rsidR="0002150A">
        <w:rPr>
          <w:sz w:val="20"/>
        </w:rPr>
        <w:t>στ</w:t>
      </w:r>
      <w:r>
        <w:rPr>
          <w:sz w:val="20"/>
        </w:rPr>
        <w:t>α</w:t>
      </w:r>
      <w:r w:rsidR="0002150A">
        <w:rPr>
          <w:sz w:val="20"/>
        </w:rPr>
        <w:t xml:space="preserve"> €1</w:t>
      </w:r>
      <w:r>
        <w:rPr>
          <w:sz w:val="20"/>
        </w:rPr>
        <w:t>2</w:t>
      </w:r>
      <w:r w:rsidR="0002150A">
        <w:rPr>
          <w:sz w:val="20"/>
        </w:rPr>
        <w:t xml:space="preserve"> εκατ..</w:t>
      </w:r>
    </w:p>
    <w:p w:rsidR="00F84555" w:rsidRPr="0002150A" w:rsidRDefault="0002150A" w:rsidP="0002150A">
      <w:pPr>
        <w:pStyle w:val="BlockText"/>
        <w:numPr>
          <w:ilvl w:val="0"/>
          <w:numId w:val="3"/>
        </w:numPr>
        <w:snapToGrid w:val="0"/>
        <w:spacing w:before="120" w:after="120" w:line="360" w:lineRule="auto"/>
        <w:ind w:right="0"/>
        <w:rPr>
          <w:sz w:val="20"/>
        </w:rPr>
      </w:pPr>
      <w:r>
        <w:rPr>
          <w:sz w:val="20"/>
        </w:rPr>
        <w:t>Η Διεθνής Εμπορία</w:t>
      </w:r>
      <w:r w:rsidR="00B67F2D">
        <w:rPr>
          <w:sz w:val="20"/>
        </w:rPr>
        <w:t xml:space="preserve"> επηρεάστηκε από </w:t>
      </w:r>
      <w:r w:rsidR="00184AD4">
        <w:rPr>
          <w:sz w:val="20"/>
        </w:rPr>
        <w:t xml:space="preserve">τα μειωμένα περιθώρια </w:t>
      </w:r>
      <w:r w:rsidR="00B67F2D">
        <w:rPr>
          <w:sz w:val="20"/>
        </w:rPr>
        <w:t xml:space="preserve">στην αγορά της Βουλγαρίας, </w:t>
      </w:r>
      <w:r w:rsidR="002C2AF9">
        <w:rPr>
          <w:sz w:val="20"/>
        </w:rPr>
        <w:t xml:space="preserve">με το Συγκρίσιμο </w:t>
      </w:r>
      <w:r w:rsidR="002C2AF9">
        <w:rPr>
          <w:sz w:val="20"/>
          <w:lang w:val="en-US"/>
        </w:rPr>
        <w:t>EBITDA</w:t>
      </w:r>
      <w:r w:rsidR="00B67F2D">
        <w:rPr>
          <w:sz w:val="20"/>
        </w:rPr>
        <w:t xml:space="preserve"> να διαμορφώνεται</w:t>
      </w:r>
      <w:r w:rsidR="002C2AF9">
        <w:rPr>
          <w:sz w:val="20"/>
        </w:rPr>
        <w:t xml:space="preserve"> </w:t>
      </w:r>
      <w:r>
        <w:rPr>
          <w:sz w:val="20"/>
        </w:rPr>
        <w:t>στα €1</w:t>
      </w:r>
      <w:r w:rsidR="00B67F2D">
        <w:rPr>
          <w:sz w:val="20"/>
        </w:rPr>
        <w:t>4</w:t>
      </w:r>
      <w:r>
        <w:rPr>
          <w:sz w:val="20"/>
        </w:rPr>
        <w:t xml:space="preserve"> εκατ.</w:t>
      </w:r>
      <w:r w:rsidRPr="0002150A">
        <w:rPr>
          <w:sz w:val="20"/>
        </w:rPr>
        <w:t>.</w:t>
      </w:r>
    </w:p>
    <w:p w:rsidR="002267D1" w:rsidRPr="00EA77FC" w:rsidRDefault="002267D1" w:rsidP="00220C00">
      <w:pPr>
        <w:pStyle w:val="BlockText"/>
        <w:snapToGrid w:val="0"/>
        <w:spacing w:before="120" w:after="120" w:line="360" w:lineRule="auto"/>
        <w:ind w:left="0" w:firstLine="0"/>
        <w:rPr>
          <w:b/>
          <w:sz w:val="20"/>
          <w:szCs w:val="20"/>
          <w:highlight w:val="yellow"/>
          <w:u w:val="single"/>
        </w:rPr>
      </w:pPr>
    </w:p>
    <w:p w:rsidR="00A7308A" w:rsidRPr="00BE4EDA" w:rsidRDefault="00A7308A" w:rsidP="001E247E">
      <w:pPr>
        <w:pStyle w:val="BlockText"/>
        <w:snapToGrid w:val="0"/>
        <w:spacing w:before="120" w:after="120" w:line="360" w:lineRule="auto"/>
        <w:ind w:left="0" w:firstLine="0"/>
        <w:rPr>
          <w:b/>
          <w:sz w:val="20"/>
          <w:szCs w:val="20"/>
          <w:u w:val="single"/>
        </w:rPr>
      </w:pPr>
      <w:r w:rsidRPr="00BE4EDA">
        <w:rPr>
          <w:b/>
          <w:sz w:val="20"/>
          <w:szCs w:val="20"/>
          <w:u w:val="single"/>
        </w:rPr>
        <w:lastRenderedPageBreak/>
        <w:t>ΣΥΜΜΕΤΟΧΕΣ</w:t>
      </w:r>
    </w:p>
    <w:p w:rsidR="00FF4103" w:rsidRPr="00BE4EDA" w:rsidRDefault="00FF4103" w:rsidP="00FF4103">
      <w:pPr>
        <w:pStyle w:val="BlockText"/>
        <w:numPr>
          <w:ilvl w:val="0"/>
          <w:numId w:val="4"/>
        </w:numPr>
        <w:snapToGrid w:val="0"/>
        <w:spacing w:before="120" w:after="120" w:line="360" w:lineRule="auto"/>
        <w:ind w:right="0"/>
        <w:rPr>
          <w:sz w:val="20"/>
        </w:rPr>
      </w:pPr>
      <w:r w:rsidRPr="00BE4EDA">
        <w:rPr>
          <w:sz w:val="20"/>
        </w:rPr>
        <w:t xml:space="preserve">Η συνεισφορά της ΔΕΠΑ </w:t>
      </w:r>
      <w:r w:rsidR="00961E6F" w:rsidRPr="00BE4EDA">
        <w:rPr>
          <w:sz w:val="20"/>
        </w:rPr>
        <w:t>και των θυγατρικών της εταιρ</w:t>
      </w:r>
      <w:r w:rsidR="000D4615" w:rsidRPr="00BE4EDA">
        <w:rPr>
          <w:sz w:val="20"/>
        </w:rPr>
        <w:t>ε</w:t>
      </w:r>
      <w:r w:rsidR="00961E6F" w:rsidRPr="00BE4EDA">
        <w:rPr>
          <w:sz w:val="20"/>
        </w:rPr>
        <w:t xml:space="preserve">ιών </w:t>
      </w:r>
      <w:r w:rsidRPr="00BE4EDA">
        <w:rPr>
          <w:sz w:val="20"/>
        </w:rPr>
        <w:t>στα</w:t>
      </w:r>
      <w:r w:rsidR="000D4615" w:rsidRPr="00BE4EDA">
        <w:rPr>
          <w:sz w:val="20"/>
        </w:rPr>
        <w:t xml:space="preserve"> </w:t>
      </w:r>
      <w:r w:rsidR="00570D0E" w:rsidRPr="00BE4EDA">
        <w:rPr>
          <w:sz w:val="20"/>
        </w:rPr>
        <w:t>ενοποιημένα</w:t>
      </w:r>
      <w:r w:rsidR="009F19AB" w:rsidRPr="00BE4EDA">
        <w:rPr>
          <w:sz w:val="20"/>
        </w:rPr>
        <w:t xml:space="preserve"> Καθαρά Κέρδη </w:t>
      </w:r>
      <w:r w:rsidRPr="00BE4EDA">
        <w:rPr>
          <w:sz w:val="20"/>
        </w:rPr>
        <w:t>του Ομίλου</w:t>
      </w:r>
      <w:r w:rsidR="00D8440B">
        <w:rPr>
          <w:sz w:val="20"/>
        </w:rPr>
        <w:t xml:space="preserve"> </w:t>
      </w:r>
      <w:r w:rsidRPr="00BE4EDA">
        <w:rPr>
          <w:sz w:val="20"/>
        </w:rPr>
        <w:t>ανήλθε στα €</w:t>
      </w:r>
      <w:r w:rsidR="00B67F2D">
        <w:rPr>
          <w:sz w:val="20"/>
        </w:rPr>
        <w:t>7</w:t>
      </w:r>
      <w:r w:rsidRPr="00BE4EDA">
        <w:rPr>
          <w:sz w:val="20"/>
        </w:rPr>
        <w:t xml:space="preserve"> </w:t>
      </w:r>
      <w:r w:rsidR="00A272F1" w:rsidRPr="00BE4EDA">
        <w:rPr>
          <w:sz w:val="20"/>
        </w:rPr>
        <w:t>εκατ.</w:t>
      </w:r>
      <w:r w:rsidR="00A3467B" w:rsidRPr="00BE4EDA">
        <w:rPr>
          <w:sz w:val="20"/>
        </w:rPr>
        <w:t>,</w:t>
      </w:r>
      <w:r w:rsidR="000B754D" w:rsidRPr="00BE4EDA">
        <w:rPr>
          <w:sz w:val="20"/>
        </w:rPr>
        <w:t xml:space="preserve"> με αύξηση όγκων λόγω</w:t>
      </w:r>
      <w:r w:rsidR="00A3467B" w:rsidRPr="00BE4EDA">
        <w:rPr>
          <w:sz w:val="20"/>
        </w:rPr>
        <w:t xml:space="preserve"> </w:t>
      </w:r>
      <w:r w:rsidR="007069BE" w:rsidRPr="00BE4EDA">
        <w:rPr>
          <w:sz w:val="20"/>
        </w:rPr>
        <w:t>ζήτησης</w:t>
      </w:r>
      <w:r w:rsidR="00142F97" w:rsidRPr="00BE4EDA">
        <w:rPr>
          <w:sz w:val="20"/>
        </w:rPr>
        <w:t xml:space="preserve"> από παραγωγούς</w:t>
      </w:r>
      <w:r w:rsidR="007069BE" w:rsidRPr="00BE4EDA">
        <w:rPr>
          <w:sz w:val="20"/>
        </w:rPr>
        <w:t xml:space="preserve"> ηλεκτρικής ενέργειας</w:t>
      </w:r>
      <w:r w:rsidR="00570D0E" w:rsidRPr="00BE4EDA">
        <w:rPr>
          <w:sz w:val="20"/>
        </w:rPr>
        <w:t xml:space="preserve"> από Φ.Α.</w:t>
      </w:r>
    </w:p>
    <w:p w:rsidR="00A7308A" w:rsidRPr="00BE4EDA" w:rsidRDefault="008305BA" w:rsidP="001E247E">
      <w:pPr>
        <w:pStyle w:val="BlockText"/>
        <w:numPr>
          <w:ilvl w:val="0"/>
          <w:numId w:val="4"/>
        </w:numPr>
        <w:snapToGrid w:val="0"/>
        <w:spacing w:before="120" w:after="120" w:line="360" w:lineRule="auto"/>
        <w:ind w:right="0"/>
        <w:rPr>
          <w:b/>
          <w:bCs/>
          <w:sz w:val="20"/>
          <w:szCs w:val="20"/>
        </w:rPr>
      </w:pPr>
      <w:r w:rsidRPr="00BE4EDA">
        <w:rPr>
          <w:sz w:val="20"/>
        </w:rPr>
        <w:t xml:space="preserve">Τα </w:t>
      </w:r>
      <w:r w:rsidRPr="00BE4EDA">
        <w:rPr>
          <w:sz w:val="20"/>
          <w:lang w:val="en-GB"/>
        </w:rPr>
        <w:t>EBITDA</w:t>
      </w:r>
      <w:r w:rsidRPr="00BE4EDA">
        <w:rPr>
          <w:sz w:val="20"/>
        </w:rPr>
        <w:t xml:space="preserve"> της </w:t>
      </w:r>
      <w:r w:rsidRPr="00BE4EDA">
        <w:rPr>
          <w:sz w:val="20"/>
          <w:lang w:val="en-GB"/>
        </w:rPr>
        <w:t>Elpedison</w:t>
      </w:r>
      <w:r w:rsidRPr="00BE4EDA">
        <w:rPr>
          <w:sz w:val="20"/>
        </w:rPr>
        <w:t xml:space="preserve"> διαμορφώθηκαν στα €</w:t>
      </w:r>
      <w:r w:rsidR="00B67F2D">
        <w:rPr>
          <w:sz w:val="20"/>
        </w:rPr>
        <w:t>6</w:t>
      </w:r>
      <w:r w:rsidRPr="00BE4EDA">
        <w:rPr>
          <w:sz w:val="20"/>
        </w:rPr>
        <w:t xml:space="preserve"> </w:t>
      </w:r>
      <w:r w:rsidR="00A272F1" w:rsidRPr="00BE4EDA">
        <w:rPr>
          <w:sz w:val="20"/>
        </w:rPr>
        <w:t>εκατ.</w:t>
      </w:r>
      <w:r w:rsidR="00AB0660" w:rsidRPr="00BE4EDA">
        <w:rPr>
          <w:sz w:val="20"/>
        </w:rPr>
        <w:t xml:space="preserve">, λόγω </w:t>
      </w:r>
      <w:r w:rsidR="00262B27" w:rsidRPr="00BE4EDA">
        <w:rPr>
          <w:sz w:val="20"/>
        </w:rPr>
        <w:t>α</w:t>
      </w:r>
      <w:r w:rsidR="000B754D" w:rsidRPr="00BE4EDA">
        <w:rPr>
          <w:sz w:val="20"/>
        </w:rPr>
        <w:t>υ</w:t>
      </w:r>
      <w:r w:rsidR="00262B27" w:rsidRPr="00BE4EDA">
        <w:rPr>
          <w:sz w:val="20"/>
        </w:rPr>
        <w:t>ξη</w:t>
      </w:r>
      <w:r w:rsidR="000B754D" w:rsidRPr="00BE4EDA">
        <w:rPr>
          <w:sz w:val="20"/>
        </w:rPr>
        <w:t>μένης</w:t>
      </w:r>
      <w:r w:rsidR="00AB0660" w:rsidRPr="00BE4EDA">
        <w:rPr>
          <w:sz w:val="20"/>
        </w:rPr>
        <w:t xml:space="preserve"> παραγωγής.</w:t>
      </w:r>
      <w:r w:rsidR="00243005">
        <w:rPr>
          <w:sz w:val="20"/>
        </w:rPr>
        <w:t xml:space="preserve"> </w:t>
      </w:r>
      <w:r w:rsidR="00B67F2D">
        <w:rPr>
          <w:sz w:val="20"/>
        </w:rPr>
        <w:t>Ο νέος μηχανισμός ευελιξίας,</w:t>
      </w:r>
      <w:r w:rsidR="00B67F2D" w:rsidRPr="00B67F2D">
        <w:rPr>
          <w:sz w:val="20"/>
        </w:rPr>
        <w:t xml:space="preserve"> </w:t>
      </w:r>
      <w:r w:rsidR="00B67F2D">
        <w:rPr>
          <w:sz w:val="20"/>
        </w:rPr>
        <w:t xml:space="preserve">σε αντικατάσταση του συστήματος ΑΔΙ, τέθηκε σε εφαρμογή από το Μάιο του 2016. </w:t>
      </w:r>
    </w:p>
    <w:p w:rsidR="00D27EFD" w:rsidRDefault="00D27EFD" w:rsidP="001E1D5F">
      <w:pPr>
        <w:pStyle w:val="BlockText"/>
        <w:snapToGrid w:val="0"/>
        <w:spacing w:before="120" w:after="120" w:line="360" w:lineRule="auto"/>
        <w:ind w:left="0" w:right="0" w:firstLine="0"/>
        <w:jc w:val="center"/>
        <w:rPr>
          <w:b/>
          <w:bCs/>
          <w:sz w:val="20"/>
          <w:szCs w:val="20"/>
        </w:rPr>
      </w:pPr>
    </w:p>
    <w:p w:rsidR="00A7308A" w:rsidRPr="00EA77FC" w:rsidRDefault="00A7308A" w:rsidP="001E1D5F">
      <w:pPr>
        <w:pStyle w:val="BlockText"/>
        <w:snapToGrid w:val="0"/>
        <w:spacing w:before="120" w:after="120" w:line="360" w:lineRule="auto"/>
        <w:ind w:left="0" w:right="0" w:firstLine="0"/>
        <w:jc w:val="center"/>
        <w:rPr>
          <w:sz w:val="20"/>
          <w:szCs w:val="20"/>
        </w:rPr>
      </w:pPr>
      <w:r w:rsidRPr="00EA77FC">
        <w:rPr>
          <w:b/>
          <w:bCs/>
          <w:sz w:val="20"/>
          <w:szCs w:val="20"/>
        </w:rPr>
        <w:t>ΟΜΙΛΟΣ ΕΛΛΗΝΙΚΑ ΠΕΤΡΕΛΑΙΑ</w:t>
      </w:r>
    </w:p>
    <w:p w:rsidR="00A7308A" w:rsidRPr="00EA77FC" w:rsidRDefault="00A7308A" w:rsidP="00D15C0A">
      <w:pPr>
        <w:pStyle w:val="BodyTextIndent"/>
        <w:spacing w:before="0" w:beforeAutospacing="0" w:after="0" w:afterAutospacing="0"/>
        <w:jc w:val="center"/>
        <w:rPr>
          <w:rFonts w:ascii="Arial" w:hAnsi="Arial" w:cs="Arial"/>
          <w:sz w:val="20"/>
          <w:szCs w:val="20"/>
        </w:rPr>
      </w:pPr>
      <w:r w:rsidRPr="00EA77FC">
        <w:rPr>
          <w:rFonts w:ascii="Arial" w:hAnsi="Arial" w:cs="Arial"/>
          <w:b/>
          <w:bCs/>
          <w:sz w:val="20"/>
          <w:szCs w:val="20"/>
        </w:rPr>
        <w:t xml:space="preserve">ΒΑΣΙΚΑ ΜΕΓΕΘΗ ΕΝΟΠΟΙΗΜΕΝΩΝ ΑΠΟΤΕΛΕΣΜΑΤΩΝ ΧΡΗΣΗΣ </w:t>
      </w:r>
      <w:r w:rsidR="00697AAC">
        <w:rPr>
          <w:rFonts w:ascii="Arial" w:hAnsi="Arial" w:cs="Arial"/>
          <w:b/>
          <w:bCs/>
          <w:sz w:val="20"/>
          <w:szCs w:val="20"/>
          <w:lang w:val="en-US"/>
        </w:rPr>
        <w:t>B</w:t>
      </w:r>
      <w:r w:rsidRPr="00EA77FC">
        <w:rPr>
          <w:rFonts w:ascii="Arial" w:hAnsi="Arial" w:cs="Arial"/>
          <w:b/>
          <w:bCs/>
          <w:sz w:val="20"/>
          <w:szCs w:val="20"/>
        </w:rPr>
        <w:t>’ ΤΡΙΜΗΝΟΥ</w:t>
      </w:r>
      <w:r w:rsidR="00697AAC" w:rsidRPr="00697AAC">
        <w:rPr>
          <w:rFonts w:ascii="Arial" w:hAnsi="Arial" w:cs="Arial"/>
          <w:b/>
          <w:bCs/>
          <w:sz w:val="20"/>
          <w:szCs w:val="20"/>
        </w:rPr>
        <w:t xml:space="preserve"> / </w:t>
      </w:r>
      <w:r w:rsidR="00697AAC">
        <w:rPr>
          <w:rFonts w:ascii="Arial" w:hAnsi="Arial" w:cs="Arial"/>
          <w:b/>
          <w:bCs/>
          <w:sz w:val="20"/>
          <w:szCs w:val="20"/>
        </w:rPr>
        <w:t>Α’ ΕΞΑΜΗΝΟΥ</w:t>
      </w:r>
      <w:r w:rsidR="00B776FB" w:rsidRPr="00EA77FC">
        <w:rPr>
          <w:rFonts w:ascii="Arial" w:hAnsi="Arial" w:cs="Arial"/>
          <w:b/>
          <w:bCs/>
          <w:sz w:val="20"/>
          <w:szCs w:val="20"/>
        </w:rPr>
        <w:t xml:space="preserve"> </w:t>
      </w:r>
      <w:r w:rsidR="003B7A3C" w:rsidRPr="00EA77FC">
        <w:rPr>
          <w:rFonts w:ascii="Arial" w:hAnsi="Arial" w:cs="Arial"/>
          <w:b/>
          <w:bCs/>
          <w:sz w:val="20"/>
          <w:szCs w:val="20"/>
        </w:rPr>
        <w:t>201</w:t>
      </w:r>
      <w:r w:rsidR="00EA77FC">
        <w:rPr>
          <w:rFonts w:ascii="Arial" w:hAnsi="Arial" w:cs="Arial"/>
          <w:b/>
          <w:bCs/>
          <w:sz w:val="20"/>
          <w:szCs w:val="20"/>
        </w:rPr>
        <w:t>6</w:t>
      </w:r>
    </w:p>
    <w:p w:rsidR="00A7308A" w:rsidRPr="00EA77FC" w:rsidRDefault="00A7308A" w:rsidP="00D15C0A">
      <w:pPr>
        <w:pStyle w:val="BodyTextIndent"/>
        <w:spacing w:before="120" w:beforeAutospacing="0" w:after="120" w:afterAutospacing="0"/>
        <w:jc w:val="center"/>
        <w:rPr>
          <w:rFonts w:ascii="Arial" w:hAnsi="Arial" w:cs="Arial"/>
          <w:sz w:val="18"/>
          <w:szCs w:val="18"/>
        </w:rPr>
      </w:pPr>
      <w:r w:rsidRPr="00EA77FC">
        <w:rPr>
          <w:rFonts w:ascii="Arial" w:hAnsi="Arial" w:cs="Arial"/>
          <w:b/>
          <w:bCs/>
          <w:sz w:val="18"/>
          <w:szCs w:val="18"/>
        </w:rPr>
        <w:t>(σύμφωνα με τα Διεθνή Πρότυπα Χρηματοοικονομικής Πληροφόρησης)</w:t>
      </w:r>
    </w:p>
    <w:tbl>
      <w:tblPr>
        <w:tblW w:w="1012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96"/>
        <w:gridCol w:w="1317"/>
        <w:gridCol w:w="1207"/>
        <w:gridCol w:w="709"/>
        <w:gridCol w:w="243"/>
        <w:gridCol w:w="1276"/>
        <w:gridCol w:w="1275"/>
        <w:gridCol w:w="704"/>
      </w:tblGrid>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bCs/>
                <w:i/>
                <w:iCs/>
                <w:lang w:val="en-GB"/>
              </w:rPr>
            </w:pPr>
            <w:r w:rsidRPr="000502D8">
              <w:rPr>
                <w:rFonts w:ascii="Arial" w:hAnsi="Arial" w:cs="Arial"/>
                <w:i/>
                <w:iCs/>
                <w:sz w:val="20"/>
                <w:szCs w:val="20"/>
              </w:rPr>
              <w:t xml:space="preserve">€ </w:t>
            </w:r>
            <w:r>
              <w:rPr>
                <w:rFonts w:ascii="Arial" w:hAnsi="Arial" w:cs="Arial"/>
                <w:i/>
                <w:iCs/>
                <w:sz w:val="20"/>
                <w:szCs w:val="20"/>
              </w:rPr>
              <w:t>εκατ.</w:t>
            </w:r>
          </w:p>
        </w:tc>
        <w:tc>
          <w:tcPr>
            <w:tcW w:w="1317" w:type="dxa"/>
            <w:shd w:val="clear" w:color="auto" w:fill="auto"/>
            <w:vAlign w:val="center"/>
          </w:tcPr>
          <w:p w:rsidR="00697AAC" w:rsidRPr="00697AAC" w:rsidRDefault="00697AAC" w:rsidP="007E7EB6">
            <w:pPr>
              <w:tabs>
                <w:tab w:val="left" w:pos="1"/>
                <w:tab w:val="left" w:pos="813"/>
              </w:tabs>
              <w:ind w:left="-179"/>
              <w:jc w:val="right"/>
              <w:rPr>
                <w:rFonts w:ascii="Arial" w:hAnsi="Arial" w:cs="Arial"/>
                <w:b/>
                <w:bCs/>
                <w:sz w:val="20"/>
                <w:szCs w:val="20"/>
                <w:lang w:val="en-US"/>
              </w:rPr>
            </w:pPr>
            <w:r>
              <w:rPr>
                <w:rFonts w:ascii="Arial" w:hAnsi="Arial" w:cs="Arial"/>
                <w:b/>
                <w:bCs/>
                <w:iCs/>
                <w:sz w:val="20"/>
                <w:szCs w:val="20"/>
                <w:lang w:val="en-US"/>
              </w:rPr>
              <w:t>B</w:t>
            </w:r>
            <w:r w:rsidRPr="000502D8">
              <w:rPr>
                <w:rFonts w:ascii="Arial" w:hAnsi="Arial" w:cs="Arial"/>
                <w:b/>
                <w:bCs/>
                <w:iCs/>
                <w:sz w:val="20"/>
                <w:szCs w:val="20"/>
              </w:rPr>
              <w:t xml:space="preserve">’ </w:t>
            </w:r>
            <w:r>
              <w:rPr>
                <w:rFonts w:ascii="Arial" w:hAnsi="Arial" w:cs="Arial"/>
                <w:b/>
                <w:bCs/>
                <w:iCs/>
                <w:sz w:val="20"/>
                <w:szCs w:val="20"/>
              </w:rPr>
              <w:t>Τ</w:t>
            </w:r>
            <w:r w:rsidRPr="000502D8">
              <w:rPr>
                <w:rFonts w:ascii="Arial" w:hAnsi="Arial" w:cs="Arial"/>
                <w:b/>
                <w:bCs/>
                <w:iCs/>
                <w:sz w:val="20"/>
                <w:szCs w:val="20"/>
              </w:rPr>
              <w:t>ρίμηνο 20</w:t>
            </w:r>
            <w:r w:rsidRPr="000502D8">
              <w:rPr>
                <w:rFonts w:ascii="Arial" w:hAnsi="Arial" w:cs="Arial"/>
                <w:b/>
                <w:bCs/>
                <w:iCs/>
                <w:sz w:val="20"/>
                <w:szCs w:val="20"/>
                <w:lang w:val="en-US"/>
              </w:rPr>
              <w:t>1</w:t>
            </w:r>
            <w:r>
              <w:rPr>
                <w:rFonts w:ascii="Arial" w:hAnsi="Arial" w:cs="Arial"/>
                <w:b/>
                <w:bCs/>
                <w:iCs/>
                <w:sz w:val="20"/>
                <w:szCs w:val="20"/>
                <w:lang w:val="en-US"/>
              </w:rPr>
              <w:t>5</w:t>
            </w:r>
          </w:p>
        </w:tc>
        <w:tc>
          <w:tcPr>
            <w:tcW w:w="1207" w:type="dxa"/>
            <w:shd w:val="clear" w:color="auto" w:fill="auto"/>
            <w:vAlign w:val="center"/>
          </w:tcPr>
          <w:p w:rsidR="00697AAC" w:rsidRPr="00774940" w:rsidRDefault="00697AAC" w:rsidP="007E7EB6">
            <w:pPr>
              <w:tabs>
                <w:tab w:val="left" w:pos="1"/>
                <w:tab w:val="left" w:pos="813"/>
              </w:tabs>
              <w:ind w:left="-179"/>
              <w:jc w:val="right"/>
              <w:rPr>
                <w:rFonts w:ascii="Arial" w:hAnsi="Arial" w:cs="Arial"/>
                <w:b/>
                <w:bCs/>
                <w:sz w:val="20"/>
                <w:szCs w:val="20"/>
              </w:rPr>
            </w:pPr>
            <w:r>
              <w:rPr>
                <w:rFonts w:ascii="Arial" w:hAnsi="Arial" w:cs="Arial"/>
                <w:b/>
                <w:bCs/>
                <w:iCs/>
                <w:sz w:val="20"/>
                <w:szCs w:val="20"/>
                <w:lang w:val="en-US"/>
              </w:rPr>
              <w:t>B</w:t>
            </w:r>
            <w:r w:rsidRPr="000502D8">
              <w:rPr>
                <w:rFonts w:ascii="Arial" w:hAnsi="Arial" w:cs="Arial"/>
                <w:b/>
                <w:bCs/>
                <w:iCs/>
                <w:sz w:val="20"/>
                <w:szCs w:val="20"/>
              </w:rPr>
              <w:t xml:space="preserve">’ </w:t>
            </w:r>
            <w:r>
              <w:rPr>
                <w:rFonts w:ascii="Arial" w:hAnsi="Arial" w:cs="Arial"/>
                <w:b/>
                <w:bCs/>
                <w:iCs/>
                <w:sz w:val="20"/>
                <w:szCs w:val="20"/>
              </w:rPr>
              <w:t>Τ</w:t>
            </w:r>
            <w:r w:rsidRPr="000502D8">
              <w:rPr>
                <w:rFonts w:ascii="Arial" w:hAnsi="Arial" w:cs="Arial"/>
                <w:b/>
                <w:bCs/>
                <w:iCs/>
                <w:sz w:val="20"/>
                <w:szCs w:val="20"/>
              </w:rPr>
              <w:t>ρίμηνο 20</w:t>
            </w:r>
            <w:r w:rsidRPr="000502D8">
              <w:rPr>
                <w:rFonts w:ascii="Arial" w:hAnsi="Arial" w:cs="Arial"/>
                <w:b/>
                <w:bCs/>
                <w:iCs/>
                <w:sz w:val="20"/>
                <w:szCs w:val="20"/>
                <w:lang w:val="en-US"/>
              </w:rPr>
              <w:t>1</w:t>
            </w:r>
            <w:r>
              <w:rPr>
                <w:rFonts w:ascii="Arial" w:hAnsi="Arial" w:cs="Arial"/>
                <w:b/>
                <w:bCs/>
                <w:iCs/>
                <w:sz w:val="20"/>
                <w:szCs w:val="20"/>
                <w:lang w:val="en-US"/>
              </w:rPr>
              <w:t>6</w:t>
            </w:r>
          </w:p>
        </w:tc>
        <w:tc>
          <w:tcPr>
            <w:tcW w:w="709" w:type="dxa"/>
            <w:shd w:val="clear" w:color="auto" w:fill="auto"/>
            <w:vAlign w:val="center"/>
          </w:tcPr>
          <w:p w:rsidR="00697AAC" w:rsidRPr="000502D8" w:rsidRDefault="00697AAC" w:rsidP="007E7EB6">
            <w:pPr>
              <w:jc w:val="right"/>
              <w:rPr>
                <w:rFonts w:ascii="Arial" w:hAnsi="Arial" w:cs="Arial"/>
                <w:b/>
                <w:bCs/>
                <w:i/>
                <w:iCs/>
                <w:lang w:val="en-GB"/>
              </w:rPr>
            </w:pPr>
            <w:r w:rsidRPr="00A43EF2">
              <w:rPr>
                <w:rFonts w:ascii="Arial" w:hAnsi="Arial" w:cs="Arial"/>
                <w:b/>
                <w:bCs/>
                <w:i/>
                <w:iCs/>
                <w:sz w:val="22"/>
                <w:lang w:val="en-GB"/>
              </w:rPr>
              <w:t>% Δ</w:t>
            </w:r>
          </w:p>
        </w:tc>
        <w:tc>
          <w:tcPr>
            <w:tcW w:w="243" w:type="dxa"/>
            <w:shd w:val="clear" w:color="auto" w:fill="auto"/>
            <w:vAlign w:val="center"/>
          </w:tcPr>
          <w:p w:rsidR="00697AAC" w:rsidRPr="000502D8" w:rsidRDefault="00697AAC" w:rsidP="007E7EB6">
            <w:pPr>
              <w:jc w:val="right"/>
              <w:rPr>
                <w:rFonts w:ascii="Arial" w:hAnsi="Arial" w:cs="Arial"/>
                <w:b/>
                <w:bCs/>
                <w:iCs/>
                <w:lang w:val="en-GB"/>
              </w:rPr>
            </w:pPr>
          </w:p>
        </w:tc>
        <w:tc>
          <w:tcPr>
            <w:tcW w:w="1276" w:type="dxa"/>
            <w:shd w:val="clear" w:color="auto" w:fill="auto"/>
            <w:vAlign w:val="center"/>
          </w:tcPr>
          <w:p w:rsidR="00697AAC" w:rsidRPr="00697AAC" w:rsidRDefault="00697AAC" w:rsidP="00697AAC">
            <w:pPr>
              <w:tabs>
                <w:tab w:val="left" w:pos="1"/>
                <w:tab w:val="left" w:pos="813"/>
              </w:tabs>
              <w:ind w:left="-179"/>
              <w:jc w:val="right"/>
              <w:rPr>
                <w:rFonts w:ascii="Arial" w:hAnsi="Arial" w:cs="Arial"/>
                <w:b/>
                <w:bCs/>
                <w:sz w:val="20"/>
                <w:szCs w:val="20"/>
                <w:lang w:val="en-US"/>
              </w:rPr>
            </w:pPr>
            <w:r>
              <w:rPr>
                <w:rFonts w:ascii="Arial" w:hAnsi="Arial" w:cs="Arial"/>
                <w:b/>
                <w:bCs/>
                <w:iCs/>
                <w:sz w:val="20"/>
                <w:szCs w:val="20"/>
              </w:rPr>
              <w:t>Α’ Εξάμηνο 201</w:t>
            </w:r>
            <w:r>
              <w:rPr>
                <w:rFonts w:ascii="Arial" w:hAnsi="Arial" w:cs="Arial"/>
                <w:b/>
                <w:bCs/>
                <w:iCs/>
                <w:sz w:val="20"/>
                <w:szCs w:val="20"/>
                <w:lang w:val="en-US"/>
              </w:rPr>
              <w:t>5</w:t>
            </w:r>
          </w:p>
        </w:tc>
        <w:tc>
          <w:tcPr>
            <w:tcW w:w="1275" w:type="dxa"/>
            <w:shd w:val="clear" w:color="auto" w:fill="auto"/>
            <w:vAlign w:val="center"/>
          </w:tcPr>
          <w:p w:rsidR="00697AAC" w:rsidRPr="00697AAC" w:rsidRDefault="00697AAC" w:rsidP="00697AAC">
            <w:pPr>
              <w:tabs>
                <w:tab w:val="left" w:pos="1"/>
                <w:tab w:val="left" w:pos="813"/>
              </w:tabs>
              <w:ind w:left="-179"/>
              <w:jc w:val="right"/>
              <w:rPr>
                <w:rFonts w:ascii="Arial" w:hAnsi="Arial" w:cs="Arial"/>
                <w:b/>
                <w:bCs/>
                <w:sz w:val="20"/>
                <w:szCs w:val="20"/>
                <w:lang w:val="en-US"/>
              </w:rPr>
            </w:pPr>
            <w:r>
              <w:rPr>
                <w:rFonts w:ascii="Arial" w:hAnsi="Arial" w:cs="Arial"/>
                <w:b/>
                <w:bCs/>
                <w:iCs/>
                <w:sz w:val="20"/>
                <w:szCs w:val="20"/>
              </w:rPr>
              <w:t>Α’ Εξάμηνο 201</w:t>
            </w:r>
            <w:r>
              <w:rPr>
                <w:rFonts w:ascii="Arial" w:hAnsi="Arial" w:cs="Arial"/>
                <w:b/>
                <w:bCs/>
                <w:iCs/>
                <w:sz w:val="20"/>
                <w:szCs w:val="20"/>
                <w:lang w:val="en-US"/>
              </w:rPr>
              <w:t>6</w:t>
            </w:r>
          </w:p>
        </w:tc>
        <w:tc>
          <w:tcPr>
            <w:tcW w:w="704" w:type="dxa"/>
            <w:shd w:val="clear" w:color="auto" w:fill="auto"/>
            <w:vAlign w:val="center"/>
          </w:tcPr>
          <w:p w:rsidR="00697AAC" w:rsidRPr="000502D8" w:rsidRDefault="00697AAC" w:rsidP="007E7EB6">
            <w:pPr>
              <w:jc w:val="right"/>
              <w:rPr>
                <w:rFonts w:ascii="Arial" w:hAnsi="Arial" w:cs="Arial"/>
                <w:b/>
                <w:bCs/>
                <w:i/>
                <w:iCs/>
                <w:lang w:val="en-GB"/>
              </w:rPr>
            </w:pPr>
            <w:r w:rsidRPr="00A43EF2">
              <w:rPr>
                <w:rFonts w:ascii="Arial" w:hAnsi="Arial" w:cs="Arial"/>
                <w:b/>
                <w:bCs/>
                <w:i/>
                <w:iCs/>
                <w:sz w:val="22"/>
                <w:lang w:val="en-GB"/>
              </w:rPr>
              <w:t>% Δ</w:t>
            </w:r>
          </w:p>
        </w:tc>
      </w:tr>
      <w:tr w:rsidR="00697AAC" w:rsidRPr="000502D8" w:rsidTr="007E7EB6">
        <w:trPr>
          <w:trHeight w:val="450"/>
          <w:jc w:val="center"/>
        </w:trPr>
        <w:tc>
          <w:tcPr>
            <w:tcW w:w="4713" w:type="dxa"/>
            <w:gridSpan w:val="2"/>
            <w:shd w:val="clear" w:color="auto" w:fill="E0E0E0"/>
            <w:vAlign w:val="center"/>
          </w:tcPr>
          <w:p w:rsidR="00697AAC" w:rsidRPr="000502D8" w:rsidRDefault="00697AAC" w:rsidP="007E7EB6">
            <w:pPr>
              <w:rPr>
                <w:rFonts w:ascii="Arial" w:hAnsi="Arial" w:cs="Arial"/>
                <w:bCs/>
                <w:iCs/>
                <w:lang w:val="en-GB"/>
              </w:rPr>
            </w:pPr>
            <w:r w:rsidRPr="002C48B8">
              <w:rPr>
                <w:rFonts w:ascii="Arial" w:hAnsi="Arial" w:cs="Arial"/>
                <w:b/>
                <w:bCs/>
                <w:sz w:val="20"/>
                <w:szCs w:val="20"/>
              </w:rPr>
              <w:t>Στοιχεία αποτελεσμάτων</w:t>
            </w:r>
          </w:p>
        </w:tc>
        <w:tc>
          <w:tcPr>
            <w:tcW w:w="1207" w:type="dxa"/>
            <w:shd w:val="clear" w:color="auto" w:fill="E0E0E0"/>
            <w:vAlign w:val="center"/>
          </w:tcPr>
          <w:p w:rsidR="00697AAC" w:rsidRPr="000502D8" w:rsidRDefault="00697AAC" w:rsidP="007E7EB6">
            <w:pPr>
              <w:rPr>
                <w:rFonts w:ascii="Arial" w:hAnsi="Arial" w:cs="Arial"/>
                <w:bCs/>
                <w:iCs/>
                <w:lang w:val="en-GB"/>
              </w:rPr>
            </w:pPr>
          </w:p>
        </w:tc>
        <w:tc>
          <w:tcPr>
            <w:tcW w:w="709" w:type="dxa"/>
            <w:shd w:val="clear" w:color="auto" w:fill="E0E0E0"/>
            <w:vAlign w:val="center"/>
          </w:tcPr>
          <w:p w:rsidR="00697AAC" w:rsidRPr="000502D8" w:rsidRDefault="00697AAC" w:rsidP="007E7EB6">
            <w:pPr>
              <w:jc w:val="right"/>
              <w:rPr>
                <w:rFonts w:ascii="Arial" w:hAnsi="Arial" w:cs="Arial"/>
                <w:bCs/>
                <w:i/>
                <w:iCs/>
                <w:lang w:val="en-GB"/>
              </w:rPr>
            </w:pPr>
          </w:p>
        </w:tc>
        <w:tc>
          <w:tcPr>
            <w:tcW w:w="243" w:type="dxa"/>
            <w:shd w:val="clear" w:color="auto" w:fill="E0E0E0"/>
            <w:vAlign w:val="center"/>
          </w:tcPr>
          <w:p w:rsidR="00697AAC" w:rsidRPr="000502D8" w:rsidRDefault="00697AAC" w:rsidP="007E7EB6">
            <w:pPr>
              <w:rPr>
                <w:rFonts w:ascii="Arial" w:hAnsi="Arial" w:cs="Arial"/>
                <w:bCs/>
                <w:iCs/>
                <w:lang w:val="en-GB"/>
              </w:rPr>
            </w:pPr>
          </w:p>
        </w:tc>
        <w:tc>
          <w:tcPr>
            <w:tcW w:w="1276" w:type="dxa"/>
            <w:shd w:val="clear" w:color="auto" w:fill="E0E0E0"/>
            <w:vAlign w:val="center"/>
          </w:tcPr>
          <w:p w:rsidR="00697AAC" w:rsidRPr="000502D8" w:rsidRDefault="00697AAC" w:rsidP="007E7EB6">
            <w:pPr>
              <w:rPr>
                <w:rFonts w:ascii="Arial" w:hAnsi="Arial" w:cs="Arial"/>
                <w:bCs/>
                <w:iCs/>
                <w:lang w:val="en-GB"/>
              </w:rPr>
            </w:pPr>
          </w:p>
        </w:tc>
        <w:tc>
          <w:tcPr>
            <w:tcW w:w="1275" w:type="dxa"/>
            <w:shd w:val="clear" w:color="auto" w:fill="E0E0E0"/>
            <w:vAlign w:val="center"/>
          </w:tcPr>
          <w:p w:rsidR="00697AAC" w:rsidRPr="000502D8" w:rsidRDefault="00697AAC" w:rsidP="007E7EB6">
            <w:pPr>
              <w:rPr>
                <w:rFonts w:ascii="Arial" w:hAnsi="Arial" w:cs="Arial"/>
                <w:bCs/>
                <w:iCs/>
                <w:lang w:val="en-GB"/>
              </w:rPr>
            </w:pPr>
          </w:p>
        </w:tc>
        <w:tc>
          <w:tcPr>
            <w:tcW w:w="704" w:type="dxa"/>
            <w:shd w:val="clear" w:color="auto" w:fill="E0E0E0"/>
            <w:vAlign w:val="center"/>
          </w:tcPr>
          <w:p w:rsidR="00697AAC" w:rsidRPr="000502D8" w:rsidRDefault="00697AAC" w:rsidP="007E7EB6">
            <w:pPr>
              <w:jc w:val="right"/>
              <w:rPr>
                <w:rFonts w:ascii="Arial" w:hAnsi="Arial" w:cs="Arial"/>
                <w:bCs/>
                <w:i/>
                <w:iCs/>
                <w:lang w:val="en-GB"/>
              </w:rPr>
            </w:pPr>
          </w:p>
        </w:tc>
      </w:tr>
      <w:tr w:rsidR="00697AAC" w:rsidRPr="00924887"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Pr>
                <w:rFonts w:ascii="Arial" w:hAnsi="Arial" w:cs="Arial"/>
                <w:sz w:val="20"/>
                <w:szCs w:val="20"/>
              </w:rPr>
              <w:t xml:space="preserve">Όγκοι πωλήσεων Διύλισης </w:t>
            </w:r>
            <w:r w:rsidRPr="009F6889">
              <w:rPr>
                <w:rFonts w:ascii="Arial" w:hAnsi="Arial" w:cs="Arial"/>
                <w:sz w:val="18"/>
                <w:szCs w:val="20"/>
              </w:rPr>
              <w:t>(χιλ. ΜΤ)</w:t>
            </w:r>
          </w:p>
        </w:tc>
        <w:tc>
          <w:tcPr>
            <w:tcW w:w="1317"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2.950</w:t>
            </w:r>
          </w:p>
        </w:tc>
        <w:tc>
          <w:tcPr>
            <w:tcW w:w="1207" w:type="dxa"/>
            <w:shd w:val="clear" w:color="auto" w:fill="auto"/>
            <w:vAlign w:val="center"/>
          </w:tcPr>
          <w:p w:rsidR="00697AAC" w:rsidRPr="00E1376D" w:rsidRDefault="00697AAC" w:rsidP="00697AAC">
            <w:pPr>
              <w:spacing w:before="60" w:line="360" w:lineRule="auto"/>
              <w:jc w:val="right"/>
              <w:rPr>
                <w:rFonts w:ascii="Arial" w:hAnsi="Arial" w:cs="Arial"/>
                <w:sz w:val="20"/>
              </w:rPr>
            </w:pPr>
            <w:r>
              <w:rPr>
                <w:rFonts w:ascii="Arial" w:hAnsi="Arial" w:cs="Arial"/>
                <w:sz w:val="20"/>
              </w:rPr>
              <w:t>4.006</w:t>
            </w:r>
          </w:p>
        </w:tc>
        <w:tc>
          <w:tcPr>
            <w:tcW w:w="709" w:type="dxa"/>
            <w:shd w:val="clear" w:color="auto" w:fill="auto"/>
            <w:vAlign w:val="center"/>
          </w:tcPr>
          <w:p w:rsidR="00697AAC" w:rsidRPr="0079627C" w:rsidRDefault="00697AAC" w:rsidP="00697AAC">
            <w:pPr>
              <w:spacing w:before="60" w:line="360" w:lineRule="auto"/>
              <w:jc w:val="right"/>
              <w:rPr>
                <w:rFonts w:ascii="Arial" w:hAnsi="Arial" w:cs="Arial"/>
                <w:bCs/>
                <w:i/>
                <w:iCs/>
                <w:sz w:val="18"/>
                <w:szCs w:val="20"/>
              </w:rPr>
            </w:pPr>
            <w:r>
              <w:rPr>
                <w:rFonts w:ascii="Arial" w:hAnsi="Arial" w:cs="Arial"/>
                <w:bCs/>
                <w:i/>
                <w:iCs/>
                <w:sz w:val="18"/>
                <w:szCs w:val="20"/>
              </w:rPr>
              <w:t>36</w:t>
            </w:r>
            <w:r w:rsidRPr="0079627C">
              <w:rPr>
                <w:rFonts w:ascii="Arial" w:hAnsi="Arial" w:cs="Arial"/>
                <w:bCs/>
                <w:i/>
                <w:iCs/>
                <w:sz w:val="18"/>
                <w:szCs w:val="20"/>
              </w:rPr>
              <w:t>%</w:t>
            </w:r>
          </w:p>
        </w:tc>
        <w:tc>
          <w:tcPr>
            <w:tcW w:w="243" w:type="dxa"/>
            <w:shd w:val="clear" w:color="auto" w:fill="auto"/>
            <w:vAlign w:val="center"/>
          </w:tcPr>
          <w:p w:rsidR="00697AAC" w:rsidRPr="00617635" w:rsidRDefault="00697AAC" w:rsidP="007E7EB6">
            <w:pPr>
              <w:spacing w:before="60" w:line="360" w:lineRule="auto"/>
              <w:jc w:val="right"/>
              <w:rPr>
                <w:rFonts w:ascii="Arial" w:hAnsi="Arial" w:cs="Arial"/>
                <w:bCs/>
                <w:iCs/>
                <w:sz w:val="20"/>
                <w:szCs w:val="20"/>
              </w:rPr>
            </w:pPr>
          </w:p>
        </w:tc>
        <w:tc>
          <w:tcPr>
            <w:tcW w:w="1276"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6.565</w:t>
            </w:r>
          </w:p>
        </w:tc>
        <w:tc>
          <w:tcPr>
            <w:tcW w:w="1275"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7.449</w:t>
            </w:r>
          </w:p>
        </w:tc>
        <w:tc>
          <w:tcPr>
            <w:tcW w:w="704" w:type="dxa"/>
            <w:shd w:val="clear" w:color="auto" w:fill="auto"/>
            <w:vAlign w:val="center"/>
          </w:tcPr>
          <w:p w:rsidR="00697AAC" w:rsidRPr="0079627C" w:rsidRDefault="00697AAC" w:rsidP="00697AAC">
            <w:pPr>
              <w:spacing w:before="60" w:line="360" w:lineRule="auto"/>
              <w:jc w:val="right"/>
              <w:rPr>
                <w:rFonts w:ascii="Arial" w:hAnsi="Arial" w:cs="Arial"/>
                <w:bCs/>
                <w:i/>
                <w:iCs/>
                <w:sz w:val="18"/>
                <w:szCs w:val="20"/>
              </w:rPr>
            </w:pPr>
            <w:r>
              <w:rPr>
                <w:rFonts w:ascii="Arial" w:hAnsi="Arial" w:cs="Arial"/>
                <w:bCs/>
                <w:i/>
                <w:iCs/>
                <w:sz w:val="18"/>
                <w:szCs w:val="20"/>
              </w:rPr>
              <w:t>13</w:t>
            </w:r>
            <w:r w:rsidRPr="0079627C">
              <w:rPr>
                <w:rFonts w:ascii="Arial" w:hAnsi="Arial" w:cs="Arial"/>
                <w:bCs/>
                <w:i/>
                <w:iCs/>
                <w:sz w:val="18"/>
                <w:szCs w:val="20"/>
              </w:rPr>
              <w:t>%</w:t>
            </w:r>
          </w:p>
        </w:tc>
      </w:tr>
      <w:tr w:rsidR="00697AAC" w:rsidRPr="00924887" w:rsidTr="007E7EB6">
        <w:trPr>
          <w:trHeight w:val="450"/>
          <w:jc w:val="center"/>
        </w:trPr>
        <w:tc>
          <w:tcPr>
            <w:tcW w:w="3396" w:type="dxa"/>
            <w:shd w:val="clear" w:color="auto" w:fill="auto"/>
            <w:vAlign w:val="center"/>
          </w:tcPr>
          <w:p w:rsidR="00697AAC" w:rsidRPr="000C479C" w:rsidRDefault="00697AAC" w:rsidP="007E7EB6">
            <w:pPr>
              <w:rPr>
                <w:rFonts w:ascii="Arial" w:hAnsi="Arial" w:cs="Arial"/>
                <w:sz w:val="20"/>
                <w:szCs w:val="20"/>
                <w:lang w:val="en-GB"/>
              </w:rPr>
            </w:pPr>
            <w:r w:rsidRPr="000502D8">
              <w:rPr>
                <w:rFonts w:ascii="Arial" w:hAnsi="Arial" w:cs="Arial"/>
                <w:sz w:val="20"/>
                <w:szCs w:val="20"/>
              </w:rPr>
              <w:t>Πωλήσεις</w:t>
            </w:r>
            <w:r>
              <w:rPr>
                <w:rFonts w:ascii="Arial" w:hAnsi="Arial" w:cs="Arial"/>
                <w:sz w:val="20"/>
                <w:szCs w:val="20"/>
                <w:lang w:val="en-US"/>
              </w:rPr>
              <w:t xml:space="preserve"> </w:t>
            </w:r>
          </w:p>
        </w:tc>
        <w:tc>
          <w:tcPr>
            <w:tcW w:w="1317"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1.785</w:t>
            </w:r>
          </w:p>
        </w:tc>
        <w:tc>
          <w:tcPr>
            <w:tcW w:w="1207" w:type="dxa"/>
            <w:shd w:val="clear" w:color="auto" w:fill="auto"/>
            <w:vAlign w:val="center"/>
          </w:tcPr>
          <w:p w:rsidR="00697AAC" w:rsidRPr="00E1376D" w:rsidRDefault="00697AAC" w:rsidP="00697AAC">
            <w:pPr>
              <w:spacing w:before="60" w:line="360" w:lineRule="auto"/>
              <w:jc w:val="right"/>
              <w:rPr>
                <w:rFonts w:ascii="Arial" w:hAnsi="Arial" w:cs="Arial"/>
                <w:sz w:val="20"/>
              </w:rPr>
            </w:pPr>
            <w:r>
              <w:rPr>
                <w:rFonts w:ascii="Arial" w:hAnsi="Arial" w:cs="Arial"/>
                <w:sz w:val="20"/>
              </w:rPr>
              <w:t>1.693</w:t>
            </w:r>
          </w:p>
        </w:tc>
        <w:tc>
          <w:tcPr>
            <w:tcW w:w="709" w:type="dxa"/>
            <w:shd w:val="clear" w:color="auto" w:fill="auto"/>
            <w:vAlign w:val="center"/>
          </w:tcPr>
          <w:p w:rsidR="00697AAC" w:rsidRPr="0079627C" w:rsidRDefault="00697AAC" w:rsidP="007E7EB6">
            <w:pPr>
              <w:spacing w:before="60" w:line="360" w:lineRule="auto"/>
              <w:jc w:val="right"/>
              <w:rPr>
                <w:rFonts w:ascii="Arial" w:hAnsi="Arial" w:cs="Arial"/>
                <w:bCs/>
                <w:i/>
                <w:iCs/>
                <w:sz w:val="18"/>
                <w:szCs w:val="20"/>
              </w:rPr>
            </w:pPr>
            <w:r w:rsidRPr="0079627C">
              <w:rPr>
                <w:rFonts w:ascii="Arial" w:hAnsi="Arial" w:cs="Arial"/>
                <w:bCs/>
                <w:i/>
                <w:iCs/>
                <w:sz w:val="18"/>
                <w:szCs w:val="20"/>
              </w:rPr>
              <w:t>-</w:t>
            </w:r>
            <w:r>
              <w:rPr>
                <w:rFonts w:ascii="Arial" w:hAnsi="Arial" w:cs="Arial"/>
                <w:bCs/>
                <w:i/>
                <w:iCs/>
                <w:sz w:val="18"/>
                <w:szCs w:val="20"/>
              </w:rPr>
              <w:t>5</w:t>
            </w:r>
            <w:r w:rsidRPr="0079627C">
              <w:rPr>
                <w:rFonts w:ascii="Arial" w:hAnsi="Arial" w:cs="Arial"/>
                <w:bCs/>
                <w:i/>
                <w:iCs/>
                <w:sz w:val="18"/>
                <w:szCs w:val="20"/>
              </w:rPr>
              <w:t>%</w:t>
            </w:r>
          </w:p>
        </w:tc>
        <w:tc>
          <w:tcPr>
            <w:tcW w:w="243" w:type="dxa"/>
            <w:shd w:val="clear" w:color="auto" w:fill="auto"/>
            <w:vAlign w:val="center"/>
          </w:tcPr>
          <w:p w:rsidR="00697AAC" w:rsidRPr="00617635" w:rsidRDefault="00697AAC" w:rsidP="007E7EB6">
            <w:pPr>
              <w:spacing w:before="60" w:line="360" w:lineRule="auto"/>
              <w:jc w:val="right"/>
              <w:rPr>
                <w:rFonts w:ascii="Arial" w:hAnsi="Arial" w:cs="Arial"/>
                <w:bCs/>
                <w:iCs/>
                <w:sz w:val="20"/>
                <w:szCs w:val="20"/>
              </w:rPr>
            </w:pPr>
          </w:p>
        </w:tc>
        <w:tc>
          <w:tcPr>
            <w:tcW w:w="1276"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3.664</w:t>
            </w:r>
          </w:p>
        </w:tc>
        <w:tc>
          <w:tcPr>
            <w:tcW w:w="1275"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2.940</w:t>
            </w:r>
          </w:p>
        </w:tc>
        <w:tc>
          <w:tcPr>
            <w:tcW w:w="704" w:type="dxa"/>
            <w:shd w:val="clear" w:color="auto" w:fill="auto"/>
            <w:vAlign w:val="center"/>
          </w:tcPr>
          <w:p w:rsidR="00697AAC" w:rsidRPr="0079627C" w:rsidRDefault="00697AAC" w:rsidP="007E7EB6">
            <w:pPr>
              <w:spacing w:before="60" w:line="360" w:lineRule="auto"/>
              <w:jc w:val="right"/>
              <w:rPr>
                <w:rFonts w:ascii="Arial" w:hAnsi="Arial" w:cs="Arial"/>
                <w:bCs/>
                <w:i/>
                <w:iCs/>
                <w:sz w:val="18"/>
                <w:szCs w:val="20"/>
              </w:rPr>
            </w:pPr>
            <w:r w:rsidRPr="0079627C">
              <w:rPr>
                <w:rFonts w:ascii="Arial" w:hAnsi="Arial" w:cs="Arial"/>
                <w:bCs/>
                <w:i/>
                <w:iCs/>
                <w:sz w:val="18"/>
                <w:szCs w:val="20"/>
              </w:rPr>
              <w:t>-</w:t>
            </w:r>
            <w:r>
              <w:rPr>
                <w:rFonts w:ascii="Arial" w:hAnsi="Arial" w:cs="Arial"/>
                <w:bCs/>
                <w:i/>
                <w:iCs/>
                <w:sz w:val="18"/>
                <w:szCs w:val="20"/>
              </w:rPr>
              <w:t>20</w:t>
            </w:r>
            <w:r w:rsidRPr="0079627C">
              <w:rPr>
                <w:rFonts w:ascii="Arial" w:hAnsi="Arial" w:cs="Arial"/>
                <w:bCs/>
                <w:i/>
                <w:iCs/>
                <w:sz w:val="18"/>
                <w:szCs w:val="20"/>
              </w:rPr>
              <w:t>%</w:t>
            </w:r>
          </w:p>
        </w:tc>
      </w:tr>
      <w:tr w:rsidR="00697AAC" w:rsidRPr="00924887"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sidRPr="000502D8">
              <w:rPr>
                <w:rFonts w:ascii="Arial" w:hAnsi="Arial" w:cs="Arial"/>
                <w:sz w:val="20"/>
                <w:szCs w:val="20"/>
              </w:rPr>
              <w:t>EBITDA</w:t>
            </w:r>
          </w:p>
        </w:tc>
        <w:tc>
          <w:tcPr>
            <w:tcW w:w="1317" w:type="dxa"/>
            <w:shd w:val="clear" w:color="auto" w:fill="auto"/>
            <w:vAlign w:val="center"/>
          </w:tcPr>
          <w:p w:rsidR="00697AAC" w:rsidRPr="00F629B2" w:rsidRDefault="00697AAC" w:rsidP="007E7EB6">
            <w:pPr>
              <w:spacing w:before="60" w:line="360" w:lineRule="auto"/>
              <w:jc w:val="right"/>
              <w:rPr>
                <w:rFonts w:ascii="Arial" w:hAnsi="Arial" w:cs="Arial"/>
                <w:sz w:val="20"/>
                <w:lang w:val="en-GB"/>
              </w:rPr>
            </w:pPr>
            <w:r>
              <w:rPr>
                <w:rFonts w:ascii="Arial" w:hAnsi="Arial" w:cs="Arial"/>
                <w:sz w:val="20"/>
              </w:rPr>
              <w:t>14</w:t>
            </w:r>
            <w:r>
              <w:rPr>
                <w:rFonts w:ascii="Arial" w:hAnsi="Arial" w:cs="Arial"/>
                <w:sz w:val="20"/>
                <w:lang w:val="en-GB"/>
              </w:rPr>
              <w:t>4</w:t>
            </w:r>
          </w:p>
        </w:tc>
        <w:tc>
          <w:tcPr>
            <w:tcW w:w="1207" w:type="dxa"/>
            <w:shd w:val="clear" w:color="auto" w:fill="auto"/>
            <w:vAlign w:val="center"/>
          </w:tcPr>
          <w:p w:rsidR="00697AAC" w:rsidRPr="00F629B2" w:rsidRDefault="00697AAC" w:rsidP="00697AAC">
            <w:pPr>
              <w:spacing w:before="60" w:line="360" w:lineRule="auto"/>
              <w:jc w:val="right"/>
              <w:rPr>
                <w:rFonts w:ascii="Arial" w:hAnsi="Arial" w:cs="Arial"/>
                <w:sz w:val="20"/>
                <w:lang w:val="en-GB"/>
              </w:rPr>
            </w:pPr>
            <w:r>
              <w:rPr>
                <w:rFonts w:ascii="Arial" w:hAnsi="Arial" w:cs="Arial"/>
                <w:sz w:val="20"/>
              </w:rPr>
              <w:t>205</w:t>
            </w:r>
          </w:p>
        </w:tc>
        <w:tc>
          <w:tcPr>
            <w:tcW w:w="709" w:type="dxa"/>
            <w:shd w:val="clear" w:color="auto" w:fill="auto"/>
            <w:vAlign w:val="center"/>
          </w:tcPr>
          <w:p w:rsidR="00697AAC" w:rsidRPr="0079627C" w:rsidRDefault="00697AAC" w:rsidP="007E7EB6">
            <w:pPr>
              <w:spacing w:before="60" w:line="360" w:lineRule="auto"/>
              <w:jc w:val="right"/>
              <w:rPr>
                <w:rFonts w:ascii="Arial" w:hAnsi="Arial" w:cs="Arial"/>
                <w:bCs/>
                <w:i/>
                <w:iCs/>
                <w:sz w:val="18"/>
                <w:szCs w:val="20"/>
              </w:rPr>
            </w:pPr>
            <w:r>
              <w:rPr>
                <w:rFonts w:ascii="Arial" w:hAnsi="Arial" w:cs="Arial"/>
                <w:bCs/>
                <w:i/>
                <w:iCs/>
                <w:sz w:val="18"/>
                <w:szCs w:val="20"/>
              </w:rPr>
              <w:t>42%</w:t>
            </w:r>
          </w:p>
        </w:tc>
        <w:tc>
          <w:tcPr>
            <w:tcW w:w="243" w:type="dxa"/>
            <w:shd w:val="clear" w:color="auto" w:fill="auto"/>
            <w:vAlign w:val="center"/>
          </w:tcPr>
          <w:p w:rsidR="00697AAC" w:rsidRPr="00617635" w:rsidRDefault="00697AAC" w:rsidP="007E7EB6">
            <w:pPr>
              <w:spacing w:before="60" w:line="360" w:lineRule="auto"/>
              <w:jc w:val="right"/>
              <w:rPr>
                <w:rFonts w:ascii="Arial" w:hAnsi="Arial" w:cs="Arial"/>
                <w:bCs/>
                <w:iCs/>
                <w:sz w:val="20"/>
                <w:szCs w:val="20"/>
              </w:rPr>
            </w:pPr>
          </w:p>
        </w:tc>
        <w:tc>
          <w:tcPr>
            <w:tcW w:w="1276"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299</w:t>
            </w:r>
          </w:p>
        </w:tc>
        <w:tc>
          <w:tcPr>
            <w:tcW w:w="1275"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334</w:t>
            </w:r>
          </w:p>
        </w:tc>
        <w:tc>
          <w:tcPr>
            <w:tcW w:w="704" w:type="dxa"/>
            <w:shd w:val="clear" w:color="auto" w:fill="auto"/>
            <w:vAlign w:val="center"/>
          </w:tcPr>
          <w:p w:rsidR="00697AAC" w:rsidRPr="0079627C" w:rsidRDefault="00697AAC" w:rsidP="007E7EB6">
            <w:pPr>
              <w:spacing w:before="60" w:line="360" w:lineRule="auto"/>
              <w:jc w:val="right"/>
              <w:rPr>
                <w:rFonts w:ascii="Arial" w:hAnsi="Arial" w:cs="Arial"/>
                <w:bCs/>
                <w:i/>
                <w:iCs/>
                <w:sz w:val="18"/>
                <w:szCs w:val="20"/>
              </w:rPr>
            </w:pPr>
            <w:r>
              <w:rPr>
                <w:rFonts w:ascii="Arial" w:hAnsi="Arial" w:cs="Arial"/>
                <w:bCs/>
                <w:i/>
                <w:iCs/>
                <w:sz w:val="18"/>
                <w:szCs w:val="20"/>
              </w:rPr>
              <w:t>12%</w:t>
            </w:r>
          </w:p>
        </w:tc>
      </w:tr>
      <w:tr w:rsidR="00697AAC" w:rsidRPr="00E1376D" w:rsidTr="007E7EB6">
        <w:trPr>
          <w:trHeight w:val="450"/>
          <w:jc w:val="center"/>
        </w:trPr>
        <w:tc>
          <w:tcPr>
            <w:tcW w:w="3396" w:type="dxa"/>
            <w:shd w:val="clear" w:color="auto" w:fill="auto"/>
            <w:vAlign w:val="center"/>
          </w:tcPr>
          <w:p w:rsidR="00697AAC" w:rsidRPr="000502D8" w:rsidRDefault="00697AAC" w:rsidP="007E7EB6">
            <w:pPr>
              <w:rPr>
                <w:rFonts w:ascii="Arial" w:hAnsi="Arial" w:cs="Arial"/>
                <w:b/>
                <w:sz w:val="20"/>
                <w:szCs w:val="20"/>
              </w:rPr>
            </w:pPr>
            <w:r w:rsidRPr="000502D8">
              <w:rPr>
                <w:rFonts w:ascii="Arial" w:hAnsi="Arial" w:cs="Arial"/>
                <w:b/>
                <w:sz w:val="20"/>
                <w:szCs w:val="20"/>
              </w:rPr>
              <w:t>Συγκρίσιμ</w:t>
            </w:r>
            <w:r>
              <w:rPr>
                <w:rFonts w:ascii="Arial" w:hAnsi="Arial" w:cs="Arial"/>
                <w:b/>
                <w:sz w:val="20"/>
                <w:szCs w:val="20"/>
              </w:rPr>
              <w:t>α</w:t>
            </w:r>
            <w:r w:rsidRPr="000502D8">
              <w:rPr>
                <w:rFonts w:ascii="Arial" w:hAnsi="Arial" w:cs="Arial"/>
                <w:b/>
                <w:sz w:val="20"/>
                <w:szCs w:val="20"/>
              </w:rPr>
              <w:t xml:space="preserve"> EBITDA </w:t>
            </w:r>
            <w:r w:rsidRPr="000502D8">
              <w:rPr>
                <w:rFonts w:ascii="Arial" w:hAnsi="Arial" w:cs="Arial"/>
                <w:b/>
                <w:sz w:val="20"/>
                <w:szCs w:val="20"/>
                <w:vertAlign w:val="superscript"/>
              </w:rPr>
              <w:t>1</w:t>
            </w:r>
          </w:p>
        </w:tc>
        <w:tc>
          <w:tcPr>
            <w:tcW w:w="1317" w:type="dxa"/>
            <w:shd w:val="clear" w:color="auto" w:fill="auto"/>
            <w:vAlign w:val="center"/>
          </w:tcPr>
          <w:p w:rsidR="00697AAC" w:rsidRPr="000959F7" w:rsidRDefault="00697AAC" w:rsidP="007E7EB6">
            <w:pPr>
              <w:spacing w:before="60" w:line="360" w:lineRule="auto"/>
              <w:jc w:val="right"/>
              <w:rPr>
                <w:rFonts w:ascii="Arial" w:hAnsi="Arial" w:cs="Arial"/>
                <w:b/>
                <w:bCs/>
                <w:iCs/>
                <w:sz w:val="20"/>
                <w:szCs w:val="20"/>
                <w:lang w:val="en-GB"/>
              </w:rPr>
            </w:pPr>
            <w:r>
              <w:rPr>
                <w:rFonts w:ascii="Arial" w:hAnsi="Arial" w:cs="Arial"/>
                <w:b/>
                <w:bCs/>
                <w:iCs/>
                <w:sz w:val="20"/>
                <w:szCs w:val="20"/>
              </w:rPr>
              <w:t>130</w:t>
            </w:r>
          </w:p>
        </w:tc>
        <w:tc>
          <w:tcPr>
            <w:tcW w:w="1207" w:type="dxa"/>
            <w:shd w:val="clear" w:color="auto" w:fill="auto"/>
            <w:vAlign w:val="center"/>
          </w:tcPr>
          <w:p w:rsidR="00697AAC" w:rsidRPr="000959F7" w:rsidRDefault="00697AAC" w:rsidP="007E7EB6">
            <w:pPr>
              <w:spacing w:before="60" w:line="360" w:lineRule="auto"/>
              <w:jc w:val="right"/>
              <w:rPr>
                <w:rFonts w:ascii="Arial" w:hAnsi="Arial" w:cs="Arial"/>
                <w:b/>
                <w:bCs/>
                <w:iCs/>
                <w:sz w:val="20"/>
                <w:szCs w:val="20"/>
                <w:lang w:val="en-GB"/>
              </w:rPr>
            </w:pPr>
            <w:r>
              <w:rPr>
                <w:rFonts w:ascii="Arial" w:hAnsi="Arial" w:cs="Arial"/>
                <w:b/>
                <w:bCs/>
                <w:iCs/>
                <w:sz w:val="20"/>
                <w:szCs w:val="20"/>
              </w:rPr>
              <w:t>156</w:t>
            </w:r>
          </w:p>
        </w:tc>
        <w:tc>
          <w:tcPr>
            <w:tcW w:w="709" w:type="dxa"/>
            <w:shd w:val="clear" w:color="auto" w:fill="auto"/>
            <w:vAlign w:val="center"/>
          </w:tcPr>
          <w:p w:rsidR="00697AAC" w:rsidRPr="00E1376D" w:rsidRDefault="00697AAC" w:rsidP="007E7EB6">
            <w:pPr>
              <w:spacing w:before="60" w:line="360" w:lineRule="auto"/>
              <w:jc w:val="right"/>
              <w:rPr>
                <w:rFonts w:ascii="Arial" w:hAnsi="Arial" w:cs="Arial"/>
                <w:b/>
                <w:bCs/>
                <w:i/>
                <w:iCs/>
                <w:sz w:val="20"/>
                <w:szCs w:val="20"/>
              </w:rPr>
            </w:pPr>
            <w:r>
              <w:rPr>
                <w:rFonts w:ascii="Arial" w:hAnsi="Arial" w:cs="Arial"/>
                <w:b/>
                <w:bCs/>
                <w:i/>
                <w:iCs/>
                <w:sz w:val="20"/>
                <w:szCs w:val="20"/>
              </w:rPr>
              <w:t>20%</w:t>
            </w:r>
          </w:p>
        </w:tc>
        <w:tc>
          <w:tcPr>
            <w:tcW w:w="243" w:type="dxa"/>
            <w:shd w:val="clear" w:color="auto" w:fill="auto"/>
            <w:vAlign w:val="center"/>
          </w:tcPr>
          <w:p w:rsidR="00697AAC" w:rsidRPr="000D787C" w:rsidRDefault="00697AAC" w:rsidP="007E7EB6">
            <w:pPr>
              <w:spacing w:before="60" w:line="360" w:lineRule="auto"/>
              <w:jc w:val="right"/>
              <w:rPr>
                <w:rFonts w:ascii="Arial" w:hAnsi="Arial" w:cs="Arial"/>
                <w:b/>
                <w:bCs/>
                <w:iCs/>
                <w:sz w:val="20"/>
                <w:szCs w:val="20"/>
              </w:rPr>
            </w:pPr>
          </w:p>
        </w:tc>
        <w:tc>
          <w:tcPr>
            <w:tcW w:w="1276" w:type="dxa"/>
            <w:shd w:val="clear" w:color="auto" w:fill="auto"/>
            <w:vAlign w:val="center"/>
          </w:tcPr>
          <w:p w:rsidR="00697AAC" w:rsidRPr="00F629B2" w:rsidRDefault="00697AAC" w:rsidP="007E7EB6">
            <w:pPr>
              <w:spacing w:before="60" w:line="360" w:lineRule="auto"/>
              <w:jc w:val="right"/>
              <w:rPr>
                <w:rFonts w:ascii="Arial" w:hAnsi="Arial" w:cs="Arial"/>
                <w:b/>
                <w:bCs/>
                <w:iCs/>
                <w:sz w:val="20"/>
                <w:szCs w:val="20"/>
                <w:lang w:val="en-GB"/>
              </w:rPr>
            </w:pPr>
            <w:r>
              <w:rPr>
                <w:rFonts w:ascii="Arial" w:hAnsi="Arial" w:cs="Arial"/>
                <w:b/>
                <w:bCs/>
                <w:iCs/>
                <w:sz w:val="20"/>
                <w:szCs w:val="20"/>
              </w:rPr>
              <w:t>33</w:t>
            </w:r>
            <w:r>
              <w:rPr>
                <w:rFonts w:ascii="Arial" w:hAnsi="Arial" w:cs="Arial"/>
                <w:b/>
                <w:bCs/>
                <w:iCs/>
                <w:sz w:val="20"/>
                <w:szCs w:val="20"/>
                <w:lang w:val="en-GB"/>
              </w:rPr>
              <w:t>5</w:t>
            </w:r>
          </w:p>
        </w:tc>
        <w:tc>
          <w:tcPr>
            <w:tcW w:w="1275" w:type="dxa"/>
            <w:shd w:val="clear" w:color="auto" w:fill="auto"/>
            <w:vAlign w:val="center"/>
          </w:tcPr>
          <w:p w:rsidR="00697AAC" w:rsidRPr="00697AAC" w:rsidRDefault="00697AAC" w:rsidP="007E7EB6">
            <w:pPr>
              <w:spacing w:before="60" w:line="360" w:lineRule="auto"/>
              <w:jc w:val="right"/>
              <w:rPr>
                <w:rFonts w:ascii="Arial" w:hAnsi="Arial" w:cs="Arial"/>
                <w:b/>
                <w:bCs/>
                <w:iCs/>
                <w:sz w:val="20"/>
                <w:szCs w:val="20"/>
              </w:rPr>
            </w:pPr>
            <w:r>
              <w:rPr>
                <w:rFonts w:ascii="Arial" w:hAnsi="Arial" w:cs="Arial"/>
                <w:b/>
                <w:bCs/>
                <w:iCs/>
                <w:sz w:val="20"/>
                <w:szCs w:val="20"/>
              </w:rPr>
              <w:t>326</w:t>
            </w:r>
          </w:p>
        </w:tc>
        <w:tc>
          <w:tcPr>
            <w:tcW w:w="704" w:type="dxa"/>
            <w:shd w:val="clear" w:color="auto" w:fill="auto"/>
            <w:vAlign w:val="center"/>
          </w:tcPr>
          <w:p w:rsidR="00697AAC" w:rsidRPr="00E1376D" w:rsidRDefault="00697AAC" w:rsidP="007E7EB6">
            <w:pPr>
              <w:spacing w:before="60" w:line="360" w:lineRule="auto"/>
              <w:jc w:val="right"/>
              <w:rPr>
                <w:rFonts w:ascii="Arial" w:hAnsi="Arial" w:cs="Arial"/>
                <w:b/>
                <w:bCs/>
                <w:i/>
                <w:iCs/>
                <w:sz w:val="20"/>
                <w:szCs w:val="20"/>
              </w:rPr>
            </w:pPr>
            <w:r>
              <w:rPr>
                <w:rFonts w:ascii="Arial" w:hAnsi="Arial" w:cs="Arial"/>
                <w:b/>
                <w:bCs/>
                <w:i/>
                <w:iCs/>
                <w:sz w:val="20"/>
                <w:szCs w:val="20"/>
              </w:rPr>
              <w:t>-3%</w:t>
            </w:r>
          </w:p>
        </w:tc>
      </w:tr>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sidRPr="000502D8">
              <w:rPr>
                <w:rFonts w:ascii="Arial" w:hAnsi="Arial" w:cs="Arial"/>
                <w:sz w:val="20"/>
                <w:szCs w:val="20"/>
              </w:rPr>
              <w:t>Καθαρά Κέρδη</w:t>
            </w:r>
          </w:p>
        </w:tc>
        <w:tc>
          <w:tcPr>
            <w:tcW w:w="1317" w:type="dxa"/>
            <w:shd w:val="clear" w:color="auto" w:fill="auto"/>
            <w:vAlign w:val="center"/>
          </w:tcPr>
          <w:p w:rsidR="00697AAC" w:rsidRPr="00E74EE1" w:rsidRDefault="00697AAC" w:rsidP="007E7EB6">
            <w:pPr>
              <w:spacing w:before="60" w:line="360" w:lineRule="auto"/>
              <w:jc w:val="right"/>
              <w:rPr>
                <w:rFonts w:ascii="Arial" w:hAnsi="Arial" w:cs="Arial"/>
                <w:sz w:val="20"/>
                <w:lang w:val="en-GB"/>
              </w:rPr>
            </w:pPr>
            <w:r>
              <w:rPr>
                <w:rFonts w:ascii="Arial" w:hAnsi="Arial" w:cs="Arial"/>
                <w:sz w:val="20"/>
              </w:rPr>
              <w:t>4</w:t>
            </w:r>
            <w:r>
              <w:rPr>
                <w:rFonts w:ascii="Arial" w:hAnsi="Arial" w:cs="Arial"/>
                <w:sz w:val="20"/>
                <w:lang w:val="en-GB"/>
              </w:rPr>
              <w:t>9</w:t>
            </w:r>
          </w:p>
        </w:tc>
        <w:tc>
          <w:tcPr>
            <w:tcW w:w="1207" w:type="dxa"/>
            <w:shd w:val="clear" w:color="auto" w:fill="auto"/>
            <w:vAlign w:val="center"/>
          </w:tcPr>
          <w:p w:rsidR="00697AAC" w:rsidRPr="00E74EE1" w:rsidRDefault="00697AAC" w:rsidP="007E7EB6">
            <w:pPr>
              <w:spacing w:before="60" w:line="360" w:lineRule="auto"/>
              <w:jc w:val="right"/>
              <w:rPr>
                <w:rFonts w:ascii="Arial" w:hAnsi="Arial" w:cs="Arial"/>
                <w:sz w:val="20"/>
                <w:lang w:val="en-GB"/>
              </w:rPr>
            </w:pPr>
            <w:r>
              <w:rPr>
                <w:rFonts w:ascii="Arial" w:hAnsi="Arial" w:cs="Arial"/>
                <w:sz w:val="20"/>
              </w:rPr>
              <w:t>72</w:t>
            </w:r>
          </w:p>
        </w:tc>
        <w:tc>
          <w:tcPr>
            <w:tcW w:w="709" w:type="dxa"/>
            <w:shd w:val="clear" w:color="auto" w:fill="auto"/>
            <w:vAlign w:val="center"/>
          </w:tcPr>
          <w:p w:rsidR="00697AAC" w:rsidRPr="00697AAC" w:rsidRDefault="00697AAC" w:rsidP="007E7EB6">
            <w:pPr>
              <w:spacing w:before="60" w:line="360" w:lineRule="auto"/>
              <w:jc w:val="right"/>
              <w:rPr>
                <w:rFonts w:ascii="Arial" w:hAnsi="Arial" w:cs="Arial"/>
                <w:bCs/>
                <w:i/>
                <w:iCs/>
                <w:sz w:val="18"/>
                <w:szCs w:val="20"/>
              </w:rPr>
            </w:pPr>
            <w:r>
              <w:rPr>
                <w:rFonts w:ascii="Arial" w:hAnsi="Arial" w:cs="Arial"/>
                <w:bCs/>
                <w:i/>
                <w:iCs/>
                <w:sz w:val="18"/>
                <w:szCs w:val="20"/>
              </w:rPr>
              <w:t>47%</w:t>
            </w:r>
          </w:p>
        </w:tc>
        <w:tc>
          <w:tcPr>
            <w:tcW w:w="243" w:type="dxa"/>
            <w:shd w:val="clear" w:color="auto" w:fill="auto"/>
            <w:vAlign w:val="center"/>
          </w:tcPr>
          <w:p w:rsidR="00697AAC" w:rsidRPr="00617635" w:rsidRDefault="00697AAC" w:rsidP="007E7EB6">
            <w:pPr>
              <w:spacing w:before="60" w:line="360" w:lineRule="auto"/>
              <w:jc w:val="right"/>
              <w:rPr>
                <w:rFonts w:ascii="Arial" w:hAnsi="Arial" w:cs="Arial"/>
                <w:bCs/>
                <w:iCs/>
                <w:sz w:val="20"/>
                <w:szCs w:val="20"/>
              </w:rPr>
            </w:pPr>
          </w:p>
        </w:tc>
        <w:tc>
          <w:tcPr>
            <w:tcW w:w="1276" w:type="dxa"/>
            <w:shd w:val="clear" w:color="auto" w:fill="auto"/>
            <w:vAlign w:val="center"/>
          </w:tcPr>
          <w:p w:rsidR="00697AAC" w:rsidRPr="00220C00" w:rsidRDefault="00697AAC" w:rsidP="007E7EB6">
            <w:pPr>
              <w:spacing w:before="60" w:line="360" w:lineRule="auto"/>
              <w:jc w:val="right"/>
              <w:rPr>
                <w:rFonts w:ascii="Arial" w:hAnsi="Arial" w:cs="Arial"/>
                <w:sz w:val="20"/>
              </w:rPr>
            </w:pPr>
            <w:r>
              <w:rPr>
                <w:rFonts w:ascii="Arial" w:hAnsi="Arial" w:cs="Arial"/>
                <w:sz w:val="20"/>
              </w:rPr>
              <w:t>66</w:t>
            </w:r>
          </w:p>
        </w:tc>
        <w:tc>
          <w:tcPr>
            <w:tcW w:w="1275" w:type="dxa"/>
            <w:shd w:val="clear" w:color="auto" w:fill="auto"/>
            <w:vAlign w:val="center"/>
          </w:tcPr>
          <w:p w:rsidR="00697AAC" w:rsidRPr="00220C00" w:rsidRDefault="00697AAC" w:rsidP="007E7EB6">
            <w:pPr>
              <w:spacing w:before="60" w:line="360" w:lineRule="auto"/>
              <w:jc w:val="right"/>
              <w:rPr>
                <w:rFonts w:ascii="Arial" w:hAnsi="Arial" w:cs="Arial"/>
                <w:sz w:val="20"/>
              </w:rPr>
            </w:pPr>
            <w:r>
              <w:rPr>
                <w:rFonts w:ascii="Arial" w:hAnsi="Arial" w:cs="Arial"/>
                <w:sz w:val="20"/>
              </w:rPr>
              <w:t>104</w:t>
            </w:r>
          </w:p>
        </w:tc>
        <w:tc>
          <w:tcPr>
            <w:tcW w:w="704" w:type="dxa"/>
            <w:shd w:val="clear" w:color="auto" w:fill="auto"/>
            <w:vAlign w:val="center"/>
          </w:tcPr>
          <w:p w:rsidR="00697AAC" w:rsidRPr="00697AAC" w:rsidRDefault="00697AAC" w:rsidP="007E7EB6">
            <w:pPr>
              <w:spacing w:before="60" w:line="360" w:lineRule="auto"/>
              <w:jc w:val="right"/>
              <w:rPr>
                <w:rFonts w:ascii="Arial" w:hAnsi="Arial" w:cs="Arial"/>
                <w:bCs/>
                <w:i/>
                <w:iCs/>
                <w:sz w:val="18"/>
                <w:szCs w:val="20"/>
              </w:rPr>
            </w:pPr>
            <w:r>
              <w:rPr>
                <w:rFonts w:ascii="Arial" w:hAnsi="Arial" w:cs="Arial"/>
                <w:bCs/>
                <w:i/>
                <w:iCs/>
                <w:sz w:val="18"/>
                <w:szCs w:val="20"/>
              </w:rPr>
              <w:t>57%</w:t>
            </w:r>
          </w:p>
        </w:tc>
      </w:tr>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b/>
                <w:sz w:val="20"/>
                <w:szCs w:val="20"/>
              </w:rPr>
            </w:pPr>
            <w:r w:rsidRPr="000502D8">
              <w:rPr>
                <w:rFonts w:ascii="Arial" w:hAnsi="Arial" w:cs="Arial"/>
                <w:b/>
                <w:sz w:val="20"/>
                <w:szCs w:val="20"/>
              </w:rPr>
              <w:t xml:space="preserve">Συγκρίσιμα Καθαρά Κέρδη </w:t>
            </w:r>
            <w:r w:rsidRPr="000502D8">
              <w:rPr>
                <w:rFonts w:ascii="Arial" w:hAnsi="Arial" w:cs="Arial"/>
                <w:b/>
                <w:sz w:val="20"/>
                <w:szCs w:val="20"/>
                <w:vertAlign w:val="superscript"/>
              </w:rPr>
              <w:t>1</w:t>
            </w:r>
          </w:p>
        </w:tc>
        <w:tc>
          <w:tcPr>
            <w:tcW w:w="1317" w:type="dxa"/>
            <w:shd w:val="clear" w:color="auto" w:fill="auto"/>
            <w:vAlign w:val="center"/>
          </w:tcPr>
          <w:p w:rsidR="00697AAC" w:rsidRPr="00697AAC" w:rsidRDefault="00697AAC" w:rsidP="00697AAC">
            <w:pPr>
              <w:spacing w:before="60" w:line="360" w:lineRule="auto"/>
              <w:jc w:val="right"/>
              <w:rPr>
                <w:rFonts w:ascii="Arial" w:hAnsi="Arial" w:cs="Arial"/>
                <w:b/>
                <w:bCs/>
                <w:iCs/>
                <w:sz w:val="20"/>
                <w:szCs w:val="20"/>
              </w:rPr>
            </w:pPr>
            <w:r>
              <w:rPr>
                <w:rFonts w:ascii="Arial" w:hAnsi="Arial" w:cs="Arial"/>
                <w:b/>
                <w:bCs/>
                <w:iCs/>
                <w:sz w:val="20"/>
                <w:szCs w:val="20"/>
              </w:rPr>
              <w:t>39</w:t>
            </w:r>
          </w:p>
        </w:tc>
        <w:tc>
          <w:tcPr>
            <w:tcW w:w="1207" w:type="dxa"/>
            <w:shd w:val="clear" w:color="auto" w:fill="auto"/>
            <w:vAlign w:val="center"/>
          </w:tcPr>
          <w:p w:rsidR="00697AAC" w:rsidRPr="00F629B2" w:rsidRDefault="00697AAC" w:rsidP="007E7EB6">
            <w:pPr>
              <w:spacing w:before="60" w:line="360" w:lineRule="auto"/>
              <w:jc w:val="right"/>
              <w:rPr>
                <w:rFonts w:ascii="Arial" w:hAnsi="Arial" w:cs="Arial"/>
                <w:b/>
                <w:bCs/>
                <w:iCs/>
                <w:sz w:val="20"/>
                <w:szCs w:val="20"/>
                <w:lang w:val="en-GB"/>
              </w:rPr>
            </w:pPr>
            <w:r>
              <w:rPr>
                <w:rFonts w:ascii="Arial" w:hAnsi="Arial" w:cs="Arial"/>
                <w:b/>
                <w:bCs/>
                <w:iCs/>
                <w:sz w:val="20"/>
                <w:szCs w:val="20"/>
              </w:rPr>
              <w:t>3</w:t>
            </w:r>
            <w:r>
              <w:rPr>
                <w:rFonts w:ascii="Arial" w:hAnsi="Arial" w:cs="Arial"/>
                <w:b/>
                <w:bCs/>
                <w:iCs/>
                <w:sz w:val="20"/>
                <w:szCs w:val="20"/>
                <w:lang w:val="en-GB"/>
              </w:rPr>
              <w:t>8</w:t>
            </w:r>
          </w:p>
        </w:tc>
        <w:tc>
          <w:tcPr>
            <w:tcW w:w="709" w:type="dxa"/>
            <w:shd w:val="clear" w:color="auto" w:fill="auto"/>
            <w:vAlign w:val="center"/>
          </w:tcPr>
          <w:p w:rsidR="00697AAC" w:rsidRPr="00596B8A" w:rsidRDefault="00697AAC" w:rsidP="007E7EB6">
            <w:pPr>
              <w:spacing w:before="60" w:line="360" w:lineRule="auto"/>
              <w:jc w:val="right"/>
              <w:rPr>
                <w:rFonts w:ascii="Arial" w:hAnsi="Arial" w:cs="Arial"/>
                <w:b/>
                <w:bCs/>
                <w:i/>
                <w:iCs/>
                <w:sz w:val="20"/>
                <w:szCs w:val="20"/>
              </w:rPr>
            </w:pPr>
            <w:r>
              <w:rPr>
                <w:rFonts w:ascii="Arial" w:hAnsi="Arial" w:cs="Arial"/>
                <w:b/>
                <w:bCs/>
                <w:i/>
                <w:iCs/>
                <w:sz w:val="20"/>
                <w:szCs w:val="20"/>
              </w:rPr>
              <w:t>-2%</w:t>
            </w:r>
          </w:p>
        </w:tc>
        <w:tc>
          <w:tcPr>
            <w:tcW w:w="243" w:type="dxa"/>
            <w:shd w:val="clear" w:color="auto" w:fill="auto"/>
            <w:vAlign w:val="center"/>
          </w:tcPr>
          <w:p w:rsidR="00697AAC" w:rsidRPr="000D787C" w:rsidRDefault="00697AAC" w:rsidP="007E7EB6">
            <w:pPr>
              <w:spacing w:before="60" w:line="360" w:lineRule="auto"/>
              <w:jc w:val="right"/>
              <w:rPr>
                <w:rFonts w:ascii="Arial" w:hAnsi="Arial" w:cs="Arial"/>
                <w:b/>
                <w:bCs/>
                <w:iCs/>
                <w:sz w:val="20"/>
                <w:szCs w:val="20"/>
              </w:rPr>
            </w:pPr>
          </w:p>
        </w:tc>
        <w:tc>
          <w:tcPr>
            <w:tcW w:w="1276" w:type="dxa"/>
            <w:shd w:val="clear" w:color="auto" w:fill="auto"/>
            <w:vAlign w:val="center"/>
          </w:tcPr>
          <w:p w:rsidR="00697AAC" w:rsidRPr="00233130" w:rsidRDefault="00697AAC" w:rsidP="007E7EB6">
            <w:pPr>
              <w:spacing w:before="60" w:line="360" w:lineRule="auto"/>
              <w:jc w:val="right"/>
              <w:rPr>
                <w:rFonts w:ascii="Arial" w:hAnsi="Arial" w:cs="Arial"/>
                <w:b/>
                <w:bCs/>
                <w:iCs/>
                <w:sz w:val="20"/>
                <w:szCs w:val="20"/>
              </w:rPr>
            </w:pPr>
            <w:r>
              <w:rPr>
                <w:rFonts w:ascii="Arial" w:hAnsi="Arial" w:cs="Arial"/>
                <w:b/>
                <w:bCs/>
                <w:iCs/>
                <w:sz w:val="20"/>
                <w:szCs w:val="20"/>
              </w:rPr>
              <w:t>93</w:t>
            </w:r>
          </w:p>
        </w:tc>
        <w:tc>
          <w:tcPr>
            <w:tcW w:w="1275" w:type="dxa"/>
            <w:shd w:val="clear" w:color="auto" w:fill="auto"/>
            <w:vAlign w:val="center"/>
          </w:tcPr>
          <w:p w:rsidR="00697AAC" w:rsidRPr="00233130" w:rsidRDefault="00697AAC" w:rsidP="007E7EB6">
            <w:pPr>
              <w:spacing w:before="60" w:line="360" w:lineRule="auto"/>
              <w:jc w:val="right"/>
              <w:rPr>
                <w:rFonts w:ascii="Arial" w:hAnsi="Arial" w:cs="Arial"/>
                <w:b/>
                <w:bCs/>
                <w:iCs/>
                <w:sz w:val="20"/>
                <w:szCs w:val="20"/>
              </w:rPr>
            </w:pPr>
            <w:r>
              <w:rPr>
                <w:rFonts w:ascii="Arial" w:hAnsi="Arial" w:cs="Arial"/>
                <w:b/>
                <w:bCs/>
                <w:iCs/>
                <w:sz w:val="20"/>
                <w:szCs w:val="20"/>
              </w:rPr>
              <w:t>108</w:t>
            </w:r>
          </w:p>
        </w:tc>
        <w:tc>
          <w:tcPr>
            <w:tcW w:w="704" w:type="dxa"/>
            <w:shd w:val="clear" w:color="auto" w:fill="auto"/>
            <w:vAlign w:val="center"/>
          </w:tcPr>
          <w:p w:rsidR="00697AAC" w:rsidRPr="00596B8A" w:rsidRDefault="00697AAC" w:rsidP="007E7EB6">
            <w:pPr>
              <w:spacing w:before="60" w:line="360" w:lineRule="auto"/>
              <w:jc w:val="right"/>
              <w:rPr>
                <w:rFonts w:ascii="Arial" w:hAnsi="Arial" w:cs="Arial"/>
                <w:b/>
                <w:bCs/>
                <w:i/>
                <w:iCs/>
                <w:sz w:val="20"/>
                <w:szCs w:val="20"/>
              </w:rPr>
            </w:pPr>
            <w:r>
              <w:rPr>
                <w:rFonts w:ascii="Arial" w:hAnsi="Arial" w:cs="Arial"/>
                <w:b/>
                <w:bCs/>
                <w:i/>
                <w:iCs/>
                <w:sz w:val="20"/>
                <w:szCs w:val="20"/>
              </w:rPr>
              <w:t>17%</w:t>
            </w:r>
          </w:p>
        </w:tc>
      </w:tr>
      <w:tr w:rsidR="00697AAC" w:rsidRPr="000502D8" w:rsidTr="007E7EB6">
        <w:trPr>
          <w:trHeight w:val="450"/>
          <w:jc w:val="center"/>
        </w:trPr>
        <w:tc>
          <w:tcPr>
            <w:tcW w:w="3396" w:type="dxa"/>
            <w:shd w:val="clear" w:color="auto" w:fill="E0E0E0"/>
            <w:vAlign w:val="center"/>
          </w:tcPr>
          <w:p w:rsidR="00697AAC" w:rsidRPr="000502D8" w:rsidRDefault="00697AAC" w:rsidP="007E7EB6">
            <w:pPr>
              <w:rPr>
                <w:rFonts w:ascii="Arial" w:hAnsi="Arial" w:cs="Arial"/>
                <w:sz w:val="20"/>
                <w:szCs w:val="20"/>
                <w:lang w:val="en-US"/>
              </w:rPr>
            </w:pPr>
            <w:r w:rsidRPr="000502D8">
              <w:rPr>
                <w:rFonts w:ascii="Arial" w:hAnsi="Arial" w:cs="Arial"/>
                <w:b/>
                <w:bCs/>
                <w:sz w:val="20"/>
                <w:szCs w:val="20"/>
              </w:rPr>
              <w:t xml:space="preserve">Κύρια Στοιχεία Ισολογισμού </w:t>
            </w:r>
          </w:p>
        </w:tc>
        <w:tc>
          <w:tcPr>
            <w:tcW w:w="1317" w:type="dxa"/>
            <w:shd w:val="clear" w:color="auto" w:fill="E0E0E0"/>
            <w:vAlign w:val="center"/>
          </w:tcPr>
          <w:p w:rsidR="00697AAC" w:rsidRPr="00617635" w:rsidRDefault="00697AAC" w:rsidP="007E7EB6">
            <w:pPr>
              <w:spacing w:before="60" w:line="360" w:lineRule="auto"/>
              <w:jc w:val="right"/>
              <w:rPr>
                <w:rFonts w:ascii="Arial" w:hAnsi="Arial" w:cs="Arial"/>
                <w:b/>
                <w:bCs/>
                <w:sz w:val="20"/>
                <w:szCs w:val="20"/>
                <w:lang w:val="en-GB"/>
              </w:rPr>
            </w:pPr>
          </w:p>
        </w:tc>
        <w:tc>
          <w:tcPr>
            <w:tcW w:w="1207" w:type="dxa"/>
            <w:shd w:val="clear" w:color="auto" w:fill="E0E0E0"/>
            <w:vAlign w:val="center"/>
          </w:tcPr>
          <w:p w:rsidR="00697AAC" w:rsidRPr="00617635" w:rsidRDefault="00697AAC" w:rsidP="007E7EB6">
            <w:pPr>
              <w:spacing w:before="60" w:line="360" w:lineRule="auto"/>
              <w:jc w:val="right"/>
              <w:rPr>
                <w:rFonts w:ascii="Arial" w:hAnsi="Arial" w:cs="Arial"/>
                <w:b/>
                <w:bCs/>
                <w:sz w:val="20"/>
                <w:szCs w:val="20"/>
                <w:lang w:val="en-GB"/>
              </w:rPr>
            </w:pPr>
          </w:p>
        </w:tc>
        <w:tc>
          <w:tcPr>
            <w:tcW w:w="709" w:type="dxa"/>
            <w:shd w:val="clear" w:color="auto" w:fill="E0E0E0"/>
            <w:vAlign w:val="center"/>
          </w:tcPr>
          <w:p w:rsidR="00697AAC" w:rsidRPr="0079627C" w:rsidRDefault="00697AAC" w:rsidP="007E7EB6">
            <w:pPr>
              <w:jc w:val="right"/>
              <w:rPr>
                <w:rFonts w:ascii="Arial" w:hAnsi="Arial" w:cs="Arial"/>
                <w:b/>
                <w:bCs/>
                <w:i/>
                <w:sz w:val="18"/>
                <w:szCs w:val="20"/>
                <w:lang w:val="en-GB"/>
              </w:rPr>
            </w:pPr>
          </w:p>
        </w:tc>
        <w:tc>
          <w:tcPr>
            <w:tcW w:w="243" w:type="dxa"/>
            <w:shd w:val="clear" w:color="auto" w:fill="E0E0E0"/>
            <w:vAlign w:val="center"/>
          </w:tcPr>
          <w:p w:rsidR="00697AAC" w:rsidRPr="00617635" w:rsidRDefault="00697AAC" w:rsidP="007E7EB6">
            <w:pPr>
              <w:jc w:val="right"/>
              <w:rPr>
                <w:rFonts w:ascii="Arial" w:hAnsi="Arial" w:cs="Arial"/>
                <w:b/>
                <w:bCs/>
                <w:sz w:val="20"/>
                <w:szCs w:val="20"/>
                <w:lang w:val="en-GB"/>
              </w:rPr>
            </w:pPr>
          </w:p>
        </w:tc>
        <w:tc>
          <w:tcPr>
            <w:tcW w:w="1276" w:type="dxa"/>
            <w:shd w:val="clear" w:color="auto" w:fill="E0E0E0"/>
            <w:vAlign w:val="center"/>
          </w:tcPr>
          <w:p w:rsidR="00697AAC" w:rsidRPr="00617635" w:rsidRDefault="00697AAC" w:rsidP="007E7EB6">
            <w:pPr>
              <w:jc w:val="right"/>
              <w:rPr>
                <w:rFonts w:ascii="Arial" w:hAnsi="Arial" w:cs="Arial"/>
                <w:b/>
                <w:bCs/>
                <w:sz w:val="20"/>
                <w:szCs w:val="20"/>
                <w:lang w:val="en-GB"/>
              </w:rPr>
            </w:pPr>
          </w:p>
        </w:tc>
        <w:tc>
          <w:tcPr>
            <w:tcW w:w="1275" w:type="dxa"/>
            <w:shd w:val="clear" w:color="auto" w:fill="E0E0E0"/>
            <w:vAlign w:val="center"/>
          </w:tcPr>
          <w:p w:rsidR="00697AAC" w:rsidRPr="00617635" w:rsidRDefault="00697AAC" w:rsidP="007E7EB6">
            <w:pPr>
              <w:jc w:val="right"/>
              <w:rPr>
                <w:rFonts w:ascii="Arial" w:hAnsi="Arial" w:cs="Arial"/>
                <w:b/>
                <w:bCs/>
                <w:sz w:val="20"/>
                <w:szCs w:val="20"/>
                <w:lang w:val="en-GB"/>
              </w:rPr>
            </w:pPr>
          </w:p>
        </w:tc>
        <w:tc>
          <w:tcPr>
            <w:tcW w:w="704" w:type="dxa"/>
            <w:shd w:val="clear" w:color="auto" w:fill="E0E0E0"/>
            <w:vAlign w:val="center"/>
          </w:tcPr>
          <w:p w:rsidR="00697AAC" w:rsidRPr="0079627C" w:rsidRDefault="00697AAC" w:rsidP="007E7EB6">
            <w:pPr>
              <w:jc w:val="right"/>
              <w:rPr>
                <w:rFonts w:ascii="Arial" w:hAnsi="Arial" w:cs="Arial"/>
                <w:b/>
                <w:bCs/>
                <w:i/>
                <w:sz w:val="18"/>
                <w:szCs w:val="20"/>
                <w:lang w:val="en-GB"/>
              </w:rPr>
            </w:pPr>
          </w:p>
        </w:tc>
      </w:tr>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sidRPr="000502D8">
              <w:rPr>
                <w:rFonts w:ascii="Arial" w:hAnsi="Arial" w:cs="Arial"/>
                <w:sz w:val="20"/>
                <w:szCs w:val="20"/>
              </w:rPr>
              <w:t>Απασχολούμενα Κεφάλαια</w:t>
            </w:r>
          </w:p>
        </w:tc>
        <w:tc>
          <w:tcPr>
            <w:tcW w:w="1317" w:type="dxa"/>
            <w:shd w:val="clear" w:color="auto" w:fill="auto"/>
            <w:vAlign w:val="center"/>
          </w:tcPr>
          <w:p w:rsidR="00697AAC" w:rsidRPr="00E1376D" w:rsidRDefault="00697AAC" w:rsidP="007E7EB6">
            <w:pPr>
              <w:spacing w:before="60" w:line="360" w:lineRule="auto"/>
              <w:jc w:val="right"/>
              <w:rPr>
                <w:rFonts w:ascii="Arial" w:hAnsi="Arial" w:cs="Arial"/>
                <w:sz w:val="20"/>
              </w:rPr>
            </w:pPr>
          </w:p>
        </w:tc>
        <w:tc>
          <w:tcPr>
            <w:tcW w:w="1207" w:type="dxa"/>
            <w:shd w:val="clear" w:color="auto" w:fill="auto"/>
            <w:vAlign w:val="center"/>
          </w:tcPr>
          <w:p w:rsidR="00697AAC" w:rsidRPr="000959F7" w:rsidRDefault="00697AAC" w:rsidP="007E7EB6">
            <w:pPr>
              <w:spacing w:before="60" w:line="360" w:lineRule="auto"/>
              <w:jc w:val="right"/>
              <w:rPr>
                <w:rFonts w:ascii="Arial" w:hAnsi="Arial" w:cs="Arial"/>
                <w:sz w:val="20"/>
                <w:lang w:val="en-GB"/>
              </w:rPr>
            </w:pPr>
          </w:p>
        </w:tc>
        <w:tc>
          <w:tcPr>
            <w:tcW w:w="709" w:type="dxa"/>
            <w:shd w:val="clear" w:color="auto" w:fill="auto"/>
            <w:vAlign w:val="center"/>
          </w:tcPr>
          <w:p w:rsidR="00697AAC" w:rsidRPr="00E1376D" w:rsidRDefault="00697AAC" w:rsidP="007E7EB6">
            <w:pPr>
              <w:spacing w:before="60" w:line="360" w:lineRule="auto"/>
              <w:jc w:val="right"/>
              <w:rPr>
                <w:rFonts w:ascii="Arial" w:hAnsi="Arial" w:cs="Arial"/>
                <w:i/>
                <w:sz w:val="20"/>
              </w:rPr>
            </w:pPr>
          </w:p>
        </w:tc>
        <w:tc>
          <w:tcPr>
            <w:tcW w:w="243" w:type="dxa"/>
            <w:shd w:val="clear" w:color="auto" w:fill="auto"/>
            <w:vAlign w:val="center"/>
          </w:tcPr>
          <w:p w:rsidR="00697AAC" w:rsidRPr="00617635" w:rsidRDefault="00697AAC" w:rsidP="007E7EB6">
            <w:pPr>
              <w:jc w:val="right"/>
              <w:rPr>
                <w:rFonts w:ascii="Arial" w:hAnsi="Arial" w:cs="Arial"/>
                <w:bCs/>
                <w:iCs/>
                <w:sz w:val="20"/>
                <w:szCs w:val="20"/>
                <w:lang w:val="en-GB"/>
              </w:rPr>
            </w:pPr>
          </w:p>
        </w:tc>
        <w:tc>
          <w:tcPr>
            <w:tcW w:w="1276" w:type="dxa"/>
            <w:shd w:val="clear" w:color="auto" w:fill="auto"/>
            <w:vAlign w:val="center"/>
          </w:tcPr>
          <w:p w:rsidR="00697AAC" w:rsidRPr="000959F7" w:rsidRDefault="00697AAC" w:rsidP="007E7EB6">
            <w:pPr>
              <w:spacing w:before="60" w:line="360" w:lineRule="auto"/>
              <w:jc w:val="right"/>
              <w:rPr>
                <w:rFonts w:ascii="Arial" w:hAnsi="Arial" w:cs="Arial"/>
                <w:sz w:val="20"/>
                <w:lang w:val="en-GB"/>
              </w:rPr>
            </w:pPr>
            <w:r>
              <w:rPr>
                <w:rFonts w:ascii="Arial" w:hAnsi="Arial" w:cs="Arial"/>
                <w:sz w:val="20"/>
              </w:rPr>
              <w:t>2.947</w:t>
            </w:r>
          </w:p>
        </w:tc>
        <w:tc>
          <w:tcPr>
            <w:tcW w:w="1275" w:type="dxa"/>
            <w:shd w:val="clear" w:color="auto" w:fill="auto"/>
            <w:vAlign w:val="center"/>
          </w:tcPr>
          <w:p w:rsidR="00697AAC" w:rsidRPr="000959F7" w:rsidRDefault="00697AAC" w:rsidP="007E7EB6">
            <w:pPr>
              <w:spacing w:before="60" w:line="360" w:lineRule="auto"/>
              <w:jc w:val="right"/>
              <w:rPr>
                <w:rFonts w:ascii="Arial" w:hAnsi="Arial" w:cs="Arial"/>
                <w:sz w:val="20"/>
                <w:lang w:val="en-GB"/>
              </w:rPr>
            </w:pPr>
            <w:r>
              <w:rPr>
                <w:rFonts w:ascii="Arial" w:hAnsi="Arial" w:cs="Arial"/>
                <w:sz w:val="20"/>
              </w:rPr>
              <w:t>3.607</w:t>
            </w:r>
          </w:p>
        </w:tc>
        <w:tc>
          <w:tcPr>
            <w:tcW w:w="704" w:type="dxa"/>
            <w:shd w:val="clear" w:color="auto" w:fill="auto"/>
            <w:vAlign w:val="center"/>
          </w:tcPr>
          <w:p w:rsidR="00697AAC" w:rsidRPr="00E1376D" w:rsidRDefault="00697AAC" w:rsidP="00697AAC">
            <w:pPr>
              <w:spacing w:before="60" w:line="360" w:lineRule="auto"/>
              <w:jc w:val="right"/>
              <w:rPr>
                <w:rFonts w:ascii="Arial" w:hAnsi="Arial" w:cs="Arial"/>
                <w:i/>
                <w:sz w:val="20"/>
              </w:rPr>
            </w:pPr>
            <w:r>
              <w:rPr>
                <w:rFonts w:ascii="Arial" w:hAnsi="Arial" w:cs="Arial"/>
                <w:i/>
                <w:sz w:val="20"/>
              </w:rPr>
              <w:t>22</w:t>
            </w:r>
            <w:r w:rsidRPr="00E1376D">
              <w:rPr>
                <w:rFonts w:ascii="Arial" w:hAnsi="Arial" w:cs="Arial"/>
                <w:i/>
                <w:sz w:val="20"/>
              </w:rPr>
              <w:t>%</w:t>
            </w:r>
          </w:p>
        </w:tc>
      </w:tr>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sidRPr="000502D8">
              <w:rPr>
                <w:rFonts w:ascii="Arial" w:hAnsi="Arial" w:cs="Arial"/>
                <w:sz w:val="20"/>
                <w:szCs w:val="20"/>
              </w:rPr>
              <w:t>Καθαρός Δανεισμός</w:t>
            </w:r>
          </w:p>
        </w:tc>
        <w:tc>
          <w:tcPr>
            <w:tcW w:w="1317" w:type="dxa"/>
            <w:shd w:val="clear" w:color="auto" w:fill="auto"/>
            <w:vAlign w:val="center"/>
          </w:tcPr>
          <w:p w:rsidR="00697AAC" w:rsidRPr="00E1376D" w:rsidRDefault="00697AAC" w:rsidP="007E7EB6">
            <w:pPr>
              <w:spacing w:before="60" w:line="360" w:lineRule="auto"/>
              <w:jc w:val="right"/>
              <w:rPr>
                <w:rFonts w:ascii="Arial" w:hAnsi="Arial" w:cs="Arial"/>
                <w:sz w:val="20"/>
              </w:rPr>
            </w:pPr>
          </w:p>
        </w:tc>
        <w:tc>
          <w:tcPr>
            <w:tcW w:w="1207" w:type="dxa"/>
            <w:shd w:val="clear" w:color="auto" w:fill="auto"/>
            <w:vAlign w:val="center"/>
          </w:tcPr>
          <w:p w:rsidR="00697AAC" w:rsidRPr="00E1376D" w:rsidRDefault="00697AAC" w:rsidP="007E7EB6">
            <w:pPr>
              <w:spacing w:before="60" w:line="360" w:lineRule="auto"/>
              <w:jc w:val="right"/>
              <w:rPr>
                <w:rFonts w:ascii="Arial" w:hAnsi="Arial" w:cs="Arial"/>
                <w:sz w:val="20"/>
              </w:rPr>
            </w:pPr>
          </w:p>
        </w:tc>
        <w:tc>
          <w:tcPr>
            <w:tcW w:w="709" w:type="dxa"/>
            <w:shd w:val="clear" w:color="auto" w:fill="auto"/>
            <w:vAlign w:val="center"/>
          </w:tcPr>
          <w:p w:rsidR="00697AAC" w:rsidRPr="00E1376D" w:rsidRDefault="00697AAC" w:rsidP="007E7EB6">
            <w:pPr>
              <w:spacing w:before="60" w:line="360" w:lineRule="auto"/>
              <w:jc w:val="right"/>
              <w:rPr>
                <w:rFonts w:ascii="Arial" w:hAnsi="Arial" w:cs="Arial"/>
                <w:i/>
                <w:sz w:val="20"/>
              </w:rPr>
            </w:pPr>
          </w:p>
        </w:tc>
        <w:tc>
          <w:tcPr>
            <w:tcW w:w="243" w:type="dxa"/>
            <w:shd w:val="clear" w:color="auto" w:fill="auto"/>
            <w:vAlign w:val="center"/>
          </w:tcPr>
          <w:p w:rsidR="00697AAC" w:rsidRPr="00617635" w:rsidRDefault="00697AAC" w:rsidP="007E7EB6">
            <w:pPr>
              <w:jc w:val="right"/>
              <w:rPr>
                <w:rFonts w:ascii="Arial" w:hAnsi="Arial" w:cs="Arial"/>
                <w:bCs/>
                <w:iCs/>
                <w:sz w:val="20"/>
                <w:szCs w:val="20"/>
                <w:lang w:val="en-GB"/>
              </w:rPr>
            </w:pPr>
          </w:p>
        </w:tc>
        <w:tc>
          <w:tcPr>
            <w:tcW w:w="1276"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1.115</w:t>
            </w:r>
          </w:p>
        </w:tc>
        <w:tc>
          <w:tcPr>
            <w:tcW w:w="1275" w:type="dxa"/>
            <w:shd w:val="clear" w:color="auto" w:fill="auto"/>
            <w:vAlign w:val="center"/>
          </w:tcPr>
          <w:p w:rsidR="00697AAC" w:rsidRPr="00E1376D" w:rsidRDefault="00697AAC" w:rsidP="00697AAC">
            <w:pPr>
              <w:spacing w:before="60" w:line="360" w:lineRule="auto"/>
              <w:jc w:val="right"/>
              <w:rPr>
                <w:rFonts w:ascii="Arial" w:hAnsi="Arial" w:cs="Arial"/>
                <w:sz w:val="20"/>
              </w:rPr>
            </w:pPr>
            <w:r>
              <w:rPr>
                <w:rFonts w:ascii="Arial" w:hAnsi="Arial" w:cs="Arial"/>
                <w:sz w:val="20"/>
              </w:rPr>
              <w:t>1.688</w:t>
            </w:r>
          </w:p>
        </w:tc>
        <w:tc>
          <w:tcPr>
            <w:tcW w:w="704" w:type="dxa"/>
            <w:shd w:val="clear" w:color="auto" w:fill="auto"/>
            <w:vAlign w:val="center"/>
          </w:tcPr>
          <w:p w:rsidR="00697AAC" w:rsidRPr="00E1376D" w:rsidRDefault="00697AAC" w:rsidP="007E7EB6">
            <w:pPr>
              <w:spacing w:before="60" w:line="360" w:lineRule="auto"/>
              <w:jc w:val="right"/>
              <w:rPr>
                <w:rFonts w:ascii="Arial" w:hAnsi="Arial" w:cs="Arial"/>
                <w:i/>
                <w:sz w:val="20"/>
              </w:rPr>
            </w:pPr>
            <w:r>
              <w:rPr>
                <w:rFonts w:ascii="Arial" w:hAnsi="Arial" w:cs="Arial"/>
                <w:i/>
                <w:sz w:val="20"/>
              </w:rPr>
              <w:t>51</w:t>
            </w:r>
            <w:r w:rsidRPr="00E1376D">
              <w:rPr>
                <w:rFonts w:ascii="Arial" w:hAnsi="Arial" w:cs="Arial"/>
                <w:i/>
                <w:sz w:val="20"/>
              </w:rPr>
              <w:t>%</w:t>
            </w:r>
          </w:p>
        </w:tc>
      </w:tr>
      <w:tr w:rsidR="00697AAC" w:rsidRPr="000502D8" w:rsidTr="007E7EB6">
        <w:trPr>
          <w:trHeight w:val="450"/>
          <w:jc w:val="center"/>
        </w:trPr>
        <w:tc>
          <w:tcPr>
            <w:tcW w:w="3396" w:type="dxa"/>
            <w:shd w:val="clear" w:color="auto" w:fill="auto"/>
            <w:vAlign w:val="center"/>
          </w:tcPr>
          <w:p w:rsidR="00697AAC" w:rsidRPr="000502D8" w:rsidRDefault="00697AAC" w:rsidP="007E7EB6">
            <w:pPr>
              <w:rPr>
                <w:rFonts w:ascii="Arial" w:hAnsi="Arial" w:cs="Arial"/>
                <w:sz w:val="20"/>
                <w:szCs w:val="20"/>
              </w:rPr>
            </w:pPr>
            <w:r w:rsidRPr="000502D8">
              <w:rPr>
                <w:rFonts w:ascii="Arial" w:hAnsi="Arial" w:cs="Arial"/>
                <w:sz w:val="20"/>
                <w:szCs w:val="20"/>
              </w:rPr>
              <w:t xml:space="preserve">Δανειακή Μόχλευση </w:t>
            </w:r>
          </w:p>
        </w:tc>
        <w:tc>
          <w:tcPr>
            <w:tcW w:w="1317" w:type="dxa"/>
            <w:shd w:val="clear" w:color="auto" w:fill="auto"/>
            <w:vAlign w:val="center"/>
          </w:tcPr>
          <w:p w:rsidR="00697AAC" w:rsidRPr="00E1376D" w:rsidRDefault="00697AAC" w:rsidP="007E7EB6">
            <w:pPr>
              <w:spacing w:before="60" w:line="360" w:lineRule="auto"/>
              <w:jc w:val="right"/>
              <w:rPr>
                <w:rFonts w:ascii="Arial" w:hAnsi="Arial" w:cs="Arial"/>
                <w:sz w:val="20"/>
              </w:rPr>
            </w:pPr>
          </w:p>
        </w:tc>
        <w:tc>
          <w:tcPr>
            <w:tcW w:w="1207" w:type="dxa"/>
            <w:shd w:val="clear" w:color="auto" w:fill="auto"/>
            <w:vAlign w:val="center"/>
          </w:tcPr>
          <w:p w:rsidR="00697AAC" w:rsidRPr="00E1376D" w:rsidRDefault="00697AAC" w:rsidP="007E7EB6">
            <w:pPr>
              <w:spacing w:before="60" w:line="360" w:lineRule="auto"/>
              <w:jc w:val="right"/>
              <w:rPr>
                <w:rFonts w:ascii="Arial" w:hAnsi="Arial" w:cs="Arial"/>
                <w:sz w:val="20"/>
              </w:rPr>
            </w:pPr>
          </w:p>
        </w:tc>
        <w:tc>
          <w:tcPr>
            <w:tcW w:w="709" w:type="dxa"/>
            <w:shd w:val="clear" w:color="auto" w:fill="auto"/>
            <w:vAlign w:val="center"/>
          </w:tcPr>
          <w:p w:rsidR="00697AAC" w:rsidRPr="00C52C86" w:rsidRDefault="00697AAC" w:rsidP="007E7EB6">
            <w:pPr>
              <w:jc w:val="right"/>
              <w:rPr>
                <w:rFonts w:ascii="Arial" w:hAnsi="Arial" w:cs="Arial"/>
                <w:sz w:val="20"/>
              </w:rPr>
            </w:pPr>
          </w:p>
        </w:tc>
        <w:tc>
          <w:tcPr>
            <w:tcW w:w="243" w:type="dxa"/>
            <w:shd w:val="clear" w:color="auto" w:fill="auto"/>
            <w:vAlign w:val="center"/>
          </w:tcPr>
          <w:p w:rsidR="00697AAC" w:rsidRPr="00617635" w:rsidRDefault="00697AAC" w:rsidP="007E7EB6">
            <w:pPr>
              <w:jc w:val="right"/>
              <w:rPr>
                <w:rFonts w:ascii="Arial" w:hAnsi="Arial" w:cs="Arial"/>
                <w:bCs/>
                <w:iCs/>
                <w:sz w:val="20"/>
                <w:szCs w:val="20"/>
                <w:lang w:val="en-GB"/>
              </w:rPr>
            </w:pPr>
          </w:p>
        </w:tc>
        <w:tc>
          <w:tcPr>
            <w:tcW w:w="1276" w:type="dxa"/>
            <w:shd w:val="clear" w:color="auto" w:fill="auto"/>
            <w:vAlign w:val="center"/>
          </w:tcPr>
          <w:p w:rsidR="00697AAC" w:rsidRPr="00E1376D" w:rsidRDefault="00697AAC" w:rsidP="007E7EB6">
            <w:pPr>
              <w:spacing w:before="60" w:line="360" w:lineRule="auto"/>
              <w:jc w:val="right"/>
              <w:rPr>
                <w:rFonts w:ascii="Arial" w:hAnsi="Arial" w:cs="Arial"/>
                <w:sz w:val="20"/>
              </w:rPr>
            </w:pPr>
            <w:r>
              <w:rPr>
                <w:rFonts w:ascii="Arial" w:hAnsi="Arial" w:cs="Arial"/>
                <w:sz w:val="20"/>
              </w:rPr>
              <w:t>38</w:t>
            </w:r>
            <w:r w:rsidRPr="00E1376D">
              <w:rPr>
                <w:rFonts w:ascii="Arial" w:hAnsi="Arial" w:cs="Arial"/>
                <w:sz w:val="20"/>
              </w:rPr>
              <w:t>%</w:t>
            </w:r>
          </w:p>
        </w:tc>
        <w:tc>
          <w:tcPr>
            <w:tcW w:w="1275" w:type="dxa"/>
            <w:shd w:val="clear" w:color="auto" w:fill="auto"/>
            <w:vAlign w:val="center"/>
          </w:tcPr>
          <w:p w:rsidR="00697AAC" w:rsidRPr="00E1376D" w:rsidRDefault="00697AAC" w:rsidP="00697AAC">
            <w:pPr>
              <w:spacing w:before="60" w:line="360" w:lineRule="auto"/>
              <w:jc w:val="right"/>
              <w:rPr>
                <w:rFonts w:ascii="Arial" w:hAnsi="Arial" w:cs="Arial"/>
                <w:sz w:val="20"/>
              </w:rPr>
            </w:pPr>
            <w:r>
              <w:rPr>
                <w:rFonts w:ascii="Arial" w:hAnsi="Arial" w:cs="Arial"/>
                <w:sz w:val="20"/>
              </w:rPr>
              <w:t>47</w:t>
            </w:r>
            <w:r w:rsidRPr="00E1376D">
              <w:rPr>
                <w:rFonts w:ascii="Arial" w:hAnsi="Arial" w:cs="Arial"/>
                <w:sz w:val="20"/>
              </w:rPr>
              <w:t>%</w:t>
            </w:r>
          </w:p>
        </w:tc>
        <w:tc>
          <w:tcPr>
            <w:tcW w:w="704" w:type="dxa"/>
            <w:shd w:val="clear" w:color="auto" w:fill="auto"/>
            <w:vAlign w:val="center"/>
          </w:tcPr>
          <w:p w:rsidR="00697AAC" w:rsidRPr="00C52C86" w:rsidRDefault="00697AAC" w:rsidP="007E7EB6">
            <w:pPr>
              <w:jc w:val="right"/>
              <w:rPr>
                <w:rFonts w:ascii="Arial" w:hAnsi="Arial" w:cs="Arial"/>
                <w:sz w:val="20"/>
              </w:rPr>
            </w:pPr>
            <w:r>
              <w:rPr>
                <w:rFonts w:ascii="Arial" w:hAnsi="Arial" w:cs="Arial"/>
                <w:sz w:val="20"/>
              </w:rPr>
              <w:t>-</w:t>
            </w:r>
          </w:p>
        </w:tc>
      </w:tr>
    </w:tbl>
    <w:p w:rsidR="00A7308A" w:rsidRPr="00EA77FC" w:rsidRDefault="00A7308A" w:rsidP="001E247E">
      <w:pPr>
        <w:spacing w:before="120" w:after="120" w:line="360" w:lineRule="auto"/>
        <w:ind w:right="187"/>
        <w:rPr>
          <w:rFonts w:ascii="Arial" w:hAnsi="Arial" w:cs="Arial"/>
          <w:i/>
          <w:iCs/>
          <w:sz w:val="16"/>
          <w:szCs w:val="16"/>
        </w:rPr>
      </w:pPr>
      <w:r w:rsidRPr="00EA77FC">
        <w:rPr>
          <w:rFonts w:ascii="Arial" w:hAnsi="Arial" w:cs="Arial"/>
          <w:i/>
          <w:iCs/>
          <w:sz w:val="16"/>
          <w:szCs w:val="16"/>
        </w:rPr>
        <w:t xml:space="preserve">Σημείωση </w:t>
      </w:r>
      <w:r w:rsidR="009C4815" w:rsidRPr="00EA77FC">
        <w:rPr>
          <w:rFonts w:ascii="Arial" w:hAnsi="Arial" w:cs="Arial"/>
          <w:i/>
          <w:iCs/>
          <w:sz w:val="16"/>
          <w:szCs w:val="16"/>
        </w:rPr>
        <w:t>1</w:t>
      </w:r>
      <w:r w:rsidRPr="00EA77FC">
        <w:rPr>
          <w:rFonts w:ascii="Arial" w:hAnsi="Arial" w:cs="Arial"/>
          <w:i/>
          <w:iCs/>
          <w:sz w:val="16"/>
          <w:szCs w:val="16"/>
        </w:rPr>
        <w:t>: Αναπροσαρμοσμένα για τις επιπτώσεις από την αποτίμηση των αποθεμάτων καθώς και μη λειτουργικών κερ</w:t>
      </w:r>
      <w:r w:rsidR="009D1B86" w:rsidRPr="00EA77FC">
        <w:rPr>
          <w:rFonts w:ascii="Arial" w:hAnsi="Arial" w:cs="Arial"/>
          <w:i/>
          <w:iCs/>
          <w:sz w:val="16"/>
          <w:szCs w:val="16"/>
        </w:rPr>
        <w:t>δών/εξόδων</w:t>
      </w:r>
    </w:p>
    <w:p w:rsidR="0075146B" w:rsidRPr="00EA77FC" w:rsidRDefault="0075146B" w:rsidP="00D15C0A">
      <w:pPr>
        <w:spacing w:line="360" w:lineRule="auto"/>
        <w:outlineLvl w:val="0"/>
        <w:rPr>
          <w:rFonts w:ascii="Arial" w:hAnsi="Arial" w:cs="Arial"/>
          <w:b/>
          <w:bCs/>
          <w:sz w:val="20"/>
          <w:szCs w:val="18"/>
        </w:rPr>
      </w:pPr>
    </w:p>
    <w:p w:rsidR="00A7308A" w:rsidRPr="00EA77FC" w:rsidRDefault="00AC6E17" w:rsidP="00D15C0A">
      <w:pPr>
        <w:spacing w:line="360" w:lineRule="auto"/>
        <w:outlineLvl w:val="0"/>
        <w:rPr>
          <w:rFonts w:ascii="Arial" w:hAnsi="Arial" w:cs="Arial"/>
          <w:b/>
          <w:bCs/>
          <w:sz w:val="20"/>
          <w:szCs w:val="18"/>
        </w:rPr>
      </w:pPr>
      <w:r w:rsidRPr="00EA77FC">
        <w:rPr>
          <w:rFonts w:ascii="Arial" w:hAnsi="Arial" w:cs="Arial"/>
          <w:b/>
          <w:bCs/>
          <w:sz w:val="20"/>
          <w:szCs w:val="18"/>
        </w:rPr>
        <w:t>Σημείω</w:t>
      </w:r>
      <w:r w:rsidR="00A7308A" w:rsidRPr="00EA77FC">
        <w:rPr>
          <w:rFonts w:ascii="Arial" w:hAnsi="Arial" w:cs="Arial"/>
          <w:b/>
          <w:bCs/>
          <w:sz w:val="20"/>
          <w:szCs w:val="18"/>
        </w:rPr>
        <w:t>σ</w:t>
      </w:r>
      <w:r w:rsidRPr="00EA77FC">
        <w:rPr>
          <w:rFonts w:ascii="Arial" w:hAnsi="Arial" w:cs="Arial"/>
          <w:b/>
          <w:bCs/>
          <w:sz w:val="20"/>
          <w:szCs w:val="18"/>
        </w:rPr>
        <w:t>η</w:t>
      </w:r>
      <w:r w:rsidR="00A7308A" w:rsidRPr="00EA77FC">
        <w:rPr>
          <w:rFonts w:ascii="Arial" w:hAnsi="Arial" w:cs="Arial"/>
          <w:b/>
          <w:bCs/>
          <w:sz w:val="20"/>
          <w:szCs w:val="18"/>
        </w:rPr>
        <w:t xml:space="preserve"> προς τους συντάκτες:</w:t>
      </w:r>
    </w:p>
    <w:p w:rsidR="004D5A34" w:rsidRPr="00EA77FC" w:rsidRDefault="004D5A34" w:rsidP="00D15C0A">
      <w:pPr>
        <w:spacing w:line="360" w:lineRule="auto"/>
        <w:jc w:val="both"/>
        <w:rPr>
          <w:rFonts w:ascii="Arial" w:hAnsi="Arial" w:cs="Arial"/>
          <w:sz w:val="20"/>
          <w:szCs w:val="18"/>
        </w:rPr>
      </w:pPr>
      <w:r w:rsidRPr="00EA77FC">
        <w:rPr>
          <w:rFonts w:ascii="Arial" w:hAnsi="Arial" w:cs="Arial"/>
          <w:sz w:val="20"/>
          <w:szCs w:val="18"/>
        </w:rPr>
        <w:t xml:space="preserve">Τα ΕΛΛΗΝΙΚΑ ΠΕΤΡΕΛΑΙΑ, τα οποία ιδρύθηκαν το 1998, είναι ένας από τους σημαντικότερους Ομίλους στον τομέα της ενέργειας στην Νοτιοανατολική Ευρώπη, με δραστηριότητες σε ολόκληρη την παραγωγική αλυσίδα ενέργειας και με παρουσία σε </w:t>
      </w:r>
      <w:r w:rsidR="00726C6F">
        <w:rPr>
          <w:rFonts w:ascii="Arial" w:hAnsi="Arial" w:cs="Arial"/>
          <w:sz w:val="20"/>
          <w:szCs w:val="18"/>
        </w:rPr>
        <w:t>6</w:t>
      </w:r>
      <w:r w:rsidRPr="00EA77FC">
        <w:rPr>
          <w:rFonts w:ascii="Arial" w:hAnsi="Arial" w:cs="Arial"/>
          <w:sz w:val="20"/>
          <w:szCs w:val="18"/>
        </w:rPr>
        <w:t xml:space="preserve"> χώρες. </w:t>
      </w:r>
    </w:p>
    <w:p w:rsidR="003D57A9" w:rsidRPr="00EA77FC" w:rsidRDefault="003D57A9" w:rsidP="00D15C0A">
      <w:pPr>
        <w:spacing w:line="360" w:lineRule="auto"/>
        <w:jc w:val="both"/>
        <w:outlineLvl w:val="0"/>
        <w:rPr>
          <w:rFonts w:ascii="Arial" w:hAnsi="Arial" w:cs="Arial"/>
          <w:b/>
          <w:bCs/>
          <w:sz w:val="20"/>
          <w:szCs w:val="18"/>
        </w:rPr>
      </w:pPr>
    </w:p>
    <w:p w:rsidR="004D5A34" w:rsidRPr="00EA77FC" w:rsidRDefault="004D5A34" w:rsidP="00D15C0A">
      <w:pPr>
        <w:spacing w:line="360" w:lineRule="auto"/>
        <w:jc w:val="both"/>
        <w:outlineLvl w:val="0"/>
        <w:rPr>
          <w:rFonts w:ascii="Arial" w:hAnsi="Arial" w:cs="Arial"/>
          <w:b/>
          <w:bCs/>
          <w:sz w:val="20"/>
          <w:szCs w:val="18"/>
        </w:rPr>
      </w:pPr>
      <w:r w:rsidRPr="00EA77FC">
        <w:rPr>
          <w:rFonts w:ascii="Arial" w:hAnsi="Arial" w:cs="Arial"/>
          <w:b/>
          <w:bCs/>
          <w:sz w:val="20"/>
          <w:szCs w:val="18"/>
        </w:rPr>
        <w:t>Περισσότερες πληροφορίες:</w:t>
      </w:r>
    </w:p>
    <w:p w:rsidR="004D5A34" w:rsidRPr="00EA77FC" w:rsidRDefault="004D5A34" w:rsidP="00D15C0A">
      <w:pPr>
        <w:spacing w:line="360" w:lineRule="auto"/>
        <w:rPr>
          <w:rFonts w:ascii="Arial" w:hAnsi="Arial" w:cs="Arial"/>
          <w:sz w:val="20"/>
          <w:szCs w:val="18"/>
        </w:rPr>
      </w:pPr>
      <w:r w:rsidRPr="00EA77FC">
        <w:rPr>
          <w:rFonts w:ascii="Arial" w:hAnsi="Arial" w:cs="Arial"/>
          <w:sz w:val="20"/>
          <w:szCs w:val="18"/>
        </w:rPr>
        <w:t xml:space="preserve">Β. </w:t>
      </w:r>
      <w:proofErr w:type="spellStart"/>
      <w:r w:rsidRPr="00EA77FC">
        <w:rPr>
          <w:rFonts w:ascii="Arial" w:hAnsi="Arial" w:cs="Arial"/>
          <w:sz w:val="20"/>
          <w:szCs w:val="18"/>
        </w:rPr>
        <w:t>Τσάιτας</w:t>
      </w:r>
      <w:proofErr w:type="spellEnd"/>
      <w:r w:rsidRPr="00EA77FC">
        <w:rPr>
          <w:rFonts w:ascii="Arial" w:hAnsi="Arial" w:cs="Arial"/>
          <w:sz w:val="20"/>
          <w:szCs w:val="18"/>
        </w:rPr>
        <w:t>, Διευθυντής Σχέσεων με Επενδυτές</w:t>
      </w:r>
    </w:p>
    <w:p w:rsidR="004D5A34" w:rsidRPr="00EA77FC" w:rsidRDefault="004D5A34" w:rsidP="00D15C0A">
      <w:pPr>
        <w:pStyle w:val="BlockText"/>
        <w:snapToGrid w:val="0"/>
        <w:spacing w:line="360" w:lineRule="auto"/>
        <w:ind w:left="0" w:right="0" w:firstLine="0"/>
        <w:rPr>
          <w:rFonts w:eastAsia="MS Mincho"/>
          <w:sz w:val="20"/>
          <w:szCs w:val="18"/>
        </w:rPr>
      </w:pPr>
      <w:proofErr w:type="spellStart"/>
      <w:r w:rsidRPr="00EA77FC">
        <w:rPr>
          <w:rFonts w:eastAsia="MS Mincho"/>
          <w:sz w:val="20"/>
          <w:szCs w:val="18"/>
        </w:rPr>
        <w:t>Τηλ</w:t>
      </w:r>
      <w:proofErr w:type="spellEnd"/>
      <w:r w:rsidRPr="00EA77FC">
        <w:rPr>
          <w:rFonts w:eastAsia="MS Mincho"/>
          <w:sz w:val="20"/>
          <w:szCs w:val="18"/>
        </w:rPr>
        <w:t xml:space="preserve">.: </w:t>
      </w:r>
      <w:r w:rsidRPr="00EA77FC">
        <w:rPr>
          <w:rFonts w:eastAsia="MS Mincho"/>
          <w:sz w:val="20"/>
          <w:szCs w:val="18"/>
        </w:rPr>
        <w:tab/>
        <w:t>210-6302399</w:t>
      </w:r>
    </w:p>
    <w:p w:rsidR="004D5A34" w:rsidRDefault="004D5A34" w:rsidP="00D15C0A">
      <w:pPr>
        <w:pStyle w:val="BlockText"/>
        <w:tabs>
          <w:tab w:val="left" w:pos="720"/>
          <w:tab w:val="left" w:pos="1440"/>
          <w:tab w:val="left" w:pos="2160"/>
          <w:tab w:val="left" w:pos="6030"/>
        </w:tabs>
        <w:snapToGrid w:val="0"/>
        <w:spacing w:line="360" w:lineRule="auto"/>
        <w:ind w:left="0" w:right="0" w:firstLine="0"/>
        <w:rPr>
          <w:rFonts w:eastAsia="MS Mincho"/>
          <w:sz w:val="16"/>
          <w:szCs w:val="18"/>
        </w:rPr>
      </w:pPr>
      <w:r w:rsidRPr="00EA77FC">
        <w:rPr>
          <w:rFonts w:eastAsia="MS Mincho"/>
          <w:sz w:val="20"/>
          <w:szCs w:val="18"/>
          <w:lang w:val="en-US"/>
        </w:rPr>
        <w:t>Email</w:t>
      </w:r>
      <w:r w:rsidRPr="00EA77FC">
        <w:rPr>
          <w:rFonts w:eastAsia="MS Mincho"/>
          <w:sz w:val="20"/>
          <w:szCs w:val="18"/>
        </w:rPr>
        <w:t>:</w:t>
      </w:r>
      <w:r w:rsidRPr="00EA77FC">
        <w:rPr>
          <w:rFonts w:ascii="MS Mincho" w:eastAsia="MS Mincho" w:cs="MS Mincho"/>
          <w:sz w:val="20"/>
          <w:szCs w:val="18"/>
        </w:rPr>
        <w:tab/>
      </w:r>
      <w:hyperlink r:id="rId10" w:history="1">
        <w:r w:rsidR="00F170DB" w:rsidRPr="00EA77FC">
          <w:rPr>
            <w:rStyle w:val="Hyperlink"/>
            <w:rFonts w:eastAsia="MS Mincho"/>
            <w:sz w:val="20"/>
            <w:szCs w:val="18"/>
            <w:lang w:val="en-US"/>
          </w:rPr>
          <w:t>vtsaitas</w:t>
        </w:r>
        <w:r w:rsidR="00F170DB" w:rsidRPr="00EA77FC">
          <w:rPr>
            <w:rStyle w:val="Hyperlink"/>
            <w:rFonts w:eastAsia="MS Mincho"/>
            <w:sz w:val="20"/>
            <w:szCs w:val="18"/>
          </w:rPr>
          <w:t>@</w:t>
        </w:r>
        <w:r w:rsidR="00F170DB" w:rsidRPr="00EA77FC">
          <w:rPr>
            <w:rStyle w:val="Hyperlink"/>
            <w:rFonts w:eastAsia="MS Mincho"/>
            <w:sz w:val="20"/>
            <w:szCs w:val="18"/>
            <w:lang w:val="en-US"/>
          </w:rPr>
          <w:t>helpe</w:t>
        </w:r>
        <w:r w:rsidR="00F170DB" w:rsidRPr="00EA77FC">
          <w:rPr>
            <w:rStyle w:val="Hyperlink"/>
            <w:rFonts w:eastAsia="MS Mincho"/>
            <w:sz w:val="20"/>
            <w:szCs w:val="18"/>
          </w:rPr>
          <w:t>.</w:t>
        </w:r>
        <w:r w:rsidR="00F170DB" w:rsidRPr="00EA77FC">
          <w:rPr>
            <w:rStyle w:val="Hyperlink"/>
            <w:rFonts w:eastAsia="MS Mincho"/>
            <w:sz w:val="20"/>
            <w:szCs w:val="18"/>
            <w:lang w:val="en-US"/>
          </w:rPr>
          <w:t>gr</w:t>
        </w:r>
      </w:hyperlink>
    </w:p>
    <w:sectPr w:rsidR="004D5A34" w:rsidSect="00D27EFD">
      <w:headerReference w:type="default" r:id="rId11"/>
      <w:footerReference w:type="even" r:id="rId12"/>
      <w:footerReference w:type="default" r:id="rId13"/>
      <w:headerReference w:type="first" r:id="rId14"/>
      <w:pgSz w:w="11906" w:h="16838"/>
      <w:pgMar w:top="142" w:right="1060" w:bottom="284" w:left="935" w:header="16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3D" w:rsidRDefault="00133F3D">
      <w:r>
        <w:separator/>
      </w:r>
    </w:p>
  </w:endnote>
  <w:endnote w:type="continuationSeparator" w:id="0">
    <w:p w:rsidR="00133F3D" w:rsidRDefault="00133F3D">
      <w:r>
        <w:continuationSeparator/>
      </w:r>
    </w:p>
  </w:endnote>
  <w:endnote w:type="continuationNotice" w:id="1">
    <w:p w:rsidR="00133F3D" w:rsidRDefault="0013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16" w:rsidRDefault="00A60616" w:rsidP="00A730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616" w:rsidRDefault="00A60616" w:rsidP="00A730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16" w:rsidRPr="00FC1BFB" w:rsidRDefault="00A60616" w:rsidP="00A7308A">
    <w:pPr>
      <w:pStyle w:val="Footer"/>
      <w:framePr w:wrap="around" w:vAnchor="text" w:hAnchor="margin" w:xAlign="right" w:y="1"/>
      <w:rPr>
        <w:rStyle w:val="PageNumber"/>
        <w:rFonts w:ascii="Arial" w:hAnsi="Arial" w:cs="Arial"/>
        <w:sz w:val="16"/>
        <w:szCs w:val="16"/>
      </w:rPr>
    </w:pPr>
    <w:r w:rsidRPr="00FC1BFB">
      <w:rPr>
        <w:rStyle w:val="PageNumber"/>
        <w:rFonts w:ascii="Arial" w:hAnsi="Arial" w:cs="Arial"/>
        <w:sz w:val="16"/>
        <w:szCs w:val="16"/>
      </w:rPr>
      <w:fldChar w:fldCharType="begin"/>
    </w:r>
    <w:r w:rsidRPr="00FC1BFB">
      <w:rPr>
        <w:rStyle w:val="PageNumber"/>
        <w:rFonts w:ascii="Arial" w:hAnsi="Arial" w:cs="Arial"/>
        <w:sz w:val="16"/>
        <w:szCs w:val="16"/>
      </w:rPr>
      <w:instrText xml:space="preserve">PAGE  </w:instrText>
    </w:r>
    <w:r w:rsidRPr="00FC1BFB">
      <w:rPr>
        <w:rStyle w:val="PageNumber"/>
        <w:rFonts w:ascii="Arial" w:hAnsi="Arial" w:cs="Arial"/>
        <w:sz w:val="16"/>
        <w:szCs w:val="16"/>
      </w:rPr>
      <w:fldChar w:fldCharType="separate"/>
    </w:r>
    <w:r w:rsidR="001F0EC7">
      <w:rPr>
        <w:rStyle w:val="PageNumber"/>
        <w:rFonts w:ascii="Arial" w:hAnsi="Arial" w:cs="Arial"/>
        <w:noProof/>
        <w:sz w:val="16"/>
        <w:szCs w:val="16"/>
      </w:rPr>
      <w:t>4</w:t>
    </w:r>
    <w:r w:rsidRPr="00FC1BFB">
      <w:rPr>
        <w:rStyle w:val="PageNumber"/>
        <w:rFonts w:ascii="Arial" w:hAnsi="Arial" w:cs="Arial"/>
        <w:sz w:val="16"/>
        <w:szCs w:val="16"/>
      </w:rPr>
      <w:fldChar w:fldCharType="end"/>
    </w:r>
  </w:p>
  <w:p w:rsidR="00A60616" w:rsidRDefault="00A60616" w:rsidP="00A730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3D" w:rsidRDefault="00133F3D">
      <w:r>
        <w:separator/>
      </w:r>
    </w:p>
  </w:footnote>
  <w:footnote w:type="continuationSeparator" w:id="0">
    <w:p w:rsidR="00133F3D" w:rsidRDefault="00133F3D">
      <w:r>
        <w:continuationSeparator/>
      </w:r>
    </w:p>
  </w:footnote>
  <w:footnote w:type="continuationNotice" w:id="1">
    <w:p w:rsidR="00133F3D" w:rsidRDefault="00133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16" w:rsidRDefault="00A60616" w:rsidP="00A7308A">
    <w:pPr>
      <w:pStyle w:val="Header"/>
      <w:spacing w:before="360" w:after="240"/>
      <w:jc w:val="right"/>
    </w:pPr>
    <w:r w:rsidRPr="00E7004B">
      <w:rPr>
        <w:color w:val="000080"/>
      </w:rPr>
      <w:object w:dxaOrig="9749"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7.75pt" o:ole="">
          <v:imagedata r:id="rId1" o:title=""/>
        </v:shape>
        <o:OLEObject Type="Embed" ProgID="PBrush" ShapeID="_x0000_i1025" DrawAspect="Content" ObjectID="_1533651079"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16" w:rsidRDefault="00A60616" w:rsidP="00A7308A">
    <w:pPr>
      <w:pStyle w:val="Header"/>
      <w:spacing w:before="360"/>
      <w:jc w:val="center"/>
    </w:pPr>
    <w:r>
      <w:rPr>
        <w:rFonts w:ascii="Tms Rmn" w:hAnsi="Tms Rmn"/>
        <w:noProof/>
        <w:sz w:val="20"/>
      </w:rPr>
      <w:drawing>
        <wp:inline distT="0" distB="0" distL="0" distR="0" wp14:anchorId="4C319BCF" wp14:editId="26333E00">
          <wp:extent cx="1443355" cy="85090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D14"/>
    <w:multiLevelType w:val="hybridMultilevel"/>
    <w:tmpl w:val="C9F67774"/>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1">
    <w:nsid w:val="06035405"/>
    <w:multiLevelType w:val="hybridMultilevel"/>
    <w:tmpl w:val="0DB2B322"/>
    <w:lvl w:ilvl="0" w:tplc="CF905856">
      <w:start w:val="1"/>
      <w:numFmt w:val="bullet"/>
      <w:lvlText w:val=""/>
      <w:lvlJc w:val="left"/>
      <w:pPr>
        <w:tabs>
          <w:tab w:val="num" w:pos="227"/>
        </w:tabs>
        <w:ind w:left="170" w:hanging="17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0F1A7C"/>
    <w:multiLevelType w:val="hybridMultilevel"/>
    <w:tmpl w:val="57B641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976FC1"/>
    <w:multiLevelType w:val="hybridMultilevel"/>
    <w:tmpl w:val="ED4E6ECE"/>
    <w:lvl w:ilvl="0" w:tplc="4F0A9076">
      <w:start w:val="1"/>
      <w:numFmt w:val="bullet"/>
      <w:pStyle w:val="BlockText10p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4">
    <w:nsid w:val="389B4885"/>
    <w:multiLevelType w:val="hybridMultilevel"/>
    <w:tmpl w:val="C4E04DA6"/>
    <w:lvl w:ilvl="0" w:tplc="9662D20C">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DEA5AF7"/>
    <w:multiLevelType w:val="hybridMultilevel"/>
    <w:tmpl w:val="4246F8CA"/>
    <w:lvl w:ilvl="0" w:tplc="01AC9630">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EAE354B"/>
    <w:multiLevelType w:val="hybridMultilevel"/>
    <w:tmpl w:val="52E21906"/>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amishis Andreas">
    <w15:presenceInfo w15:providerId="AD" w15:userId="S-1-5-21-1390067357-651377827-725345543-1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NeedToUniquify" w:val="false"/>
    <w:docVar w:name="APWAFVersion" w:val="5.0"/>
  </w:docVars>
  <w:rsids>
    <w:rsidRoot w:val="00A7308A"/>
    <w:rsid w:val="000000CC"/>
    <w:rsid w:val="000019AB"/>
    <w:rsid w:val="000043B8"/>
    <w:rsid w:val="000054D4"/>
    <w:rsid w:val="00006482"/>
    <w:rsid w:val="0000651D"/>
    <w:rsid w:val="0000680F"/>
    <w:rsid w:val="000079D2"/>
    <w:rsid w:val="0001094D"/>
    <w:rsid w:val="00012499"/>
    <w:rsid w:val="00013316"/>
    <w:rsid w:val="000141F7"/>
    <w:rsid w:val="00014469"/>
    <w:rsid w:val="0001641E"/>
    <w:rsid w:val="0002150A"/>
    <w:rsid w:val="0003056B"/>
    <w:rsid w:val="00032DBE"/>
    <w:rsid w:val="00032F4B"/>
    <w:rsid w:val="00034ACF"/>
    <w:rsid w:val="00035922"/>
    <w:rsid w:val="000369F5"/>
    <w:rsid w:val="00043E95"/>
    <w:rsid w:val="000461E1"/>
    <w:rsid w:val="0004760E"/>
    <w:rsid w:val="00050BE3"/>
    <w:rsid w:val="0005105B"/>
    <w:rsid w:val="00051C9C"/>
    <w:rsid w:val="00054499"/>
    <w:rsid w:val="000553DB"/>
    <w:rsid w:val="0005754E"/>
    <w:rsid w:val="00057A8D"/>
    <w:rsid w:val="0006103D"/>
    <w:rsid w:val="00061757"/>
    <w:rsid w:val="00062735"/>
    <w:rsid w:val="00063C8B"/>
    <w:rsid w:val="0006573A"/>
    <w:rsid w:val="0007156B"/>
    <w:rsid w:val="000716B4"/>
    <w:rsid w:val="0007707F"/>
    <w:rsid w:val="000774C3"/>
    <w:rsid w:val="000776D0"/>
    <w:rsid w:val="000812C3"/>
    <w:rsid w:val="00081795"/>
    <w:rsid w:val="00082D6C"/>
    <w:rsid w:val="000917B2"/>
    <w:rsid w:val="0009193E"/>
    <w:rsid w:val="000919CC"/>
    <w:rsid w:val="00092F41"/>
    <w:rsid w:val="00093540"/>
    <w:rsid w:val="00094BB9"/>
    <w:rsid w:val="0009538D"/>
    <w:rsid w:val="000959F7"/>
    <w:rsid w:val="00096775"/>
    <w:rsid w:val="00097DAA"/>
    <w:rsid w:val="000A0926"/>
    <w:rsid w:val="000A38D0"/>
    <w:rsid w:val="000A65A4"/>
    <w:rsid w:val="000A71DA"/>
    <w:rsid w:val="000B1CDA"/>
    <w:rsid w:val="000B2D6D"/>
    <w:rsid w:val="000B5E90"/>
    <w:rsid w:val="000B6846"/>
    <w:rsid w:val="000B724B"/>
    <w:rsid w:val="000B735B"/>
    <w:rsid w:val="000B754D"/>
    <w:rsid w:val="000C12C5"/>
    <w:rsid w:val="000C2137"/>
    <w:rsid w:val="000C3E65"/>
    <w:rsid w:val="000C479C"/>
    <w:rsid w:val="000C4BE7"/>
    <w:rsid w:val="000C601E"/>
    <w:rsid w:val="000D1EB1"/>
    <w:rsid w:val="000D4615"/>
    <w:rsid w:val="000D465F"/>
    <w:rsid w:val="000D5B5C"/>
    <w:rsid w:val="000D62AA"/>
    <w:rsid w:val="000D7D60"/>
    <w:rsid w:val="000E1123"/>
    <w:rsid w:val="000E252E"/>
    <w:rsid w:val="000E2F82"/>
    <w:rsid w:val="000E6827"/>
    <w:rsid w:val="000F024C"/>
    <w:rsid w:val="000F0BD8"/>
    <w:rsid w:val="000F2830"/>
    <w:rsid w:val="000F3F98"/>
    <w:rsid w:val="000F4C73"/>
    <w:rsid w:val="000F51B9"/>
    <w:rsid w:val="000F6A50"/>
    <w:rsid w:val="000F7988"/>
    <w:rsid w:val="0010112B"/>
    <w:rsid w:val="001017FC"/>
    <w:rsid w:val="0010245A"/>
    <w:rsid w:val="00102EB5"/>
    <w:rsid w:val="00104474"/>
    <w:rsid w:val="00104CFC"/>
    <w:rsid w:val="00104F2B"/>
    <w:rsid w:val="0010776E"/>
    <w:rsid w:val="0011206F"/>
    <w:rsid w:val="0011224A"/>
    <w:rsid w:val="00120485"/>
    <w:rsid w:val="00120DFE"/>
    <w:rsid w:val="00121FA5"/>
    <w:rsid w:val="001236D4"/>
    <w:rsid w:val="00123C74"/>
    <w:rsid w:val="00123F69"/>
    <w:rsid w:val="0012464C"/>
    <w:rsid w:val="00125753"/>
    <w:rsid w:val="00125A65"/>
    <w:rsid w:val="00130569"/>
    <w:rsid w:val="001314C1"/>
    <w:rsid w:val="00133014"/>
    <w:rsid w:val="0013384D"/>
    <w:rsid w:val="00133F3D"/>
    <w:rsid w:val="00136E63"/>
    <w:rsid w:val="0014050F"/>
    <w:rsid w:val="00140F41"/>
    <w:rsid w:val="00142A47"/>
    <w:rsid w:val="00142F97"/>
    <w:rsid w:val="00143BCF"/>
    <w:rsid w:val="00155971"/>
    <w:rsid w:val="00160937"/>
    <w:rsid w:val="0016292B"/>
    <w:rsid w:val="001640EB"/>
    <w:rsid w:val="001652BF"/>
    <w:rsid w:val="00165CC8"/>
    <w:rsid w:val="00170F23"/>
    <w:rsid w:val="00174A19"/>
    <w:rsid w:val="001752FB"/>
    <w:rsid w:val="001759A3"/>
    <w:rsid w:val="00176CE3"/>
    <w:rsid w:val="00177112"/>
    <w:rsid w:val="00177864"/>
    <w:rsid w:val="001844EC"/>
    <w:rsid w:val="00184AD4"/>
    <w:rsid w:val="00185B74"/>
    <w:rsid w:val="0019092D"/>
    <w:rsid w:val="00195393"/>
    <w:rsid w:val="001953E9"/>
    <w:rsid w:val="00197982"/>
    <w:rsid w:val="00197BA2"/>
    <w:rsid w:val="001A0974"/>
    <w:rsid w:val="001A22C0"/>
    <w:rsid w:val="001A5731"/>
    <w:rsid w:val="001A652B"/>
    <w:rsid w:val="001B3BC4"/>
    <w:rsid w:val="001B4C45"/>
    <w:rsid w:val="001B4F60"/>
    <w:rsid w:val="001C08BC"/>
    <w:rsid w:val="001C107D"/>
    <w:rsid w:val="001C1DA8"/>
    <w:rsid w:val="001C1F5F"/>
    <w:rsid w:val="001C39CC"/>
    <w:rsid w:val="001C3EE7"/>
    <w:rsid w:val="001C5742"/>
    <w:rsid w:val="001D157E"/>
    <w:rsid w:val="001D1E3C"/>
    <w:rsid w:val="001D53BC"/>
    <w:rsid w:val="001D5580"/>
    <w:rsid w:val="001D7BCC"/>
    <w:rsid w:val="001E01CB"/>
    <w:rsid w:val="001E049F"/>
    <w:rsid w:val="001E0835"/>
    <w:rsid w:val="001E09F9"/>
    <w:rsid w:val="001E134A"/>
    <w:rsid w:val="001E1D5F"/>
    <w:rsid w:val="001E247E"/>
    <w:rsid w:val="001E3971"/>
    <w:rsid w:val="001E3B54"/>
    <w:rsid w:val="001E795E"/>
    <w:rsid w:val="001E7C59"/>
    <w:rsid w:val="001F0EC7"/>
    <w:rsid w:val="001F3771"/>
    <w:rsid w:val="001F3CD5"/>
    <w:rsid w:val="001F40F9"/>
    <w:rsid w:val="001F60C1"/>
    <w:rsid w:val="001F691D"/>
    <w:rsid w:val="00200027"/>
    <w:rsid w:val="0020244A"/>
    <w:rsid w:val="002061D5"/>
    <w:rsid w:val="002112BF"/>
    <w:rsid w:val="00213B1A"/>
    <w:rsid w:val="00213EAE"/>
    <w:rsid w:val="00214CEF"/>
    <w:rsid w:val="002158C6"/>
    <w:rsid w:val="00215942"/>
    <w:rsid w:val="00215DF8"/>
    <w:rsid w:val="00220C00"/>
    <w:rsid w:val="00221315"/>
    <w:rsid w:val="002226B8"/>
    <w:rsid w:val="002235CA"/>
    <w:rsid w:val="00224367"/>
    <w:rsid w:val="002258A0"/>
    <w:rsid w:val="00225A3A"/>
    <w:rsid w:val="002266FF"/>
    <w:rsid w:val="002267D1"/>
    <w:rsid w:val="0023024E"/>
    <w:rsid w:val="00231DB3"/>
    <w:rsid w:val="00231F69"/>
    <w:rsid w:val="00233CE7"/>
    <w:rsid w:val="00233F14"/>
    <w:rsid w:val="00235AE7"/>
    <w:rsid w:val="00236DBD"/>
    <w:rsid w:val="002425D5"/>
    <w:rsid w:val="00243005"/>
    <w:rsid w:val="00252FC8"/>
    <w:rsid w:val="0025528C"/>
    <w:rsid w:val="00256C89"/>
    <w:rsid w:val="00260850"/>
    <w:rsid w:val="0026248D"/>
    <w:rsid w:val="002625C5"/>
    <w:rsid w:val="00262B27"/>
    <w:rsid w:val="002654A8"/>
    <w:rsid w:val="002717A6"/>
    <w:rsid w:val="00276372"/>
    <w:rsid w:val="00283E23"/>
    <w:rsid w:val="00284279"/>
    <w:rsid w:val="00284516"/>
    <w:rsid w:val="00285687"/>
    <w:rsid w:val="00285E1F"/>
    <w:rsid w:val="002861BA"/>
    <w:rsid w:val="002867DE"/>
    <w:rsid w:val="002913DE"/>
    <w:rsid w:val="002936CD"/>
    <w:rsid w:val="0029469E"/>
    <w:rsid w:val="002948E1"/>
    <w:rsid w:val="002A172E"/>
    <w:rsid w:val="002A5B9B"/>
    <w:rsid w:val="002A7DAB"/>
    <w:rsid w:val="002B087E"/>
    <w:rsid w:val="002B1A66"/>
    <w:rsid w:val="002B1CDA"/>
    <w:rsid w:val="002B1ED4"/>
    <w:rsid w:val="002B3824"/>
    <w:rsid w:val="002B47C5"/>
    <w:rsid w:val="002B6B03"/>
    <w:rsid w:val="002C2387"/>
    <w:rsid w:val="002C2AF9"/>
    <w:rsid w:val="002C2D9D"/>
    <w:rsid w:val="002C4919"/>
    <w:rsid w:val="002C7BA3"/>
    <w:rsid w:val="002D139A"/>
    <w:rsid w:val="002D4007"/>
    <w:rsid w:val="002D44B9"/>
    <w:rsid w:val="002D5F78"/>
    <w:rsid w:val="002D751A"/>
    <w:rsid w:val="002E1230"/>
    <w:rsid w:val="002E1E1F"/>
    <w:rsid w:val="002E6A49"/>
    <w:rsid w:val="002F1EEB"/>
    <w:rsid w:val="002F35CF"/>
    <w:rsid w:val="002F5732"/>
    <w:rsid w:val="00301011"/>
    <w:rsid w:val="00303D43"/>
    <w:rsid w:val="003043FA"/>
    <w:rsid w:val="00306BE4"/>
    <w:rsid w:val="003075F6"/>
    <w:rsid w:val="003115E9"/>
    <w:rsid w:val="0031466F"/>
    <w:rsid w:val="00314F43"/>
    <w:rsid w:val="00314F80"/>
    <w:rsid w:val="003225FC"/>
    <w:rsid w:val="0032295E"/>
    <w:rsid w:val="00323765"/>
    <w:rsid w:val="003263BE"/>
    <w:rsid w:val="003264A2"/>
    <w:rsid w:val="003334AF"/>
    <w:rsid w:val="0033474C"/>
    <w:rsid w:val="00334996"/>
    <w:rsid w:val="00334EC1"/>
    <w:rsid w:val="003368CB"/>
    <w:rsid w:val="003423E6"/>
    <w:rsid w:val="00346FF1"/>
    <w:rsid w:val="00350155"/>
    <w:rsid w:val="00356463"/>
    <w:rsid w:val="003578AD"/>
    <w:rsid w:val="003602FD"/>
    <w:rsid w:val="00362AF8"/>
    <w:rsid w:val="003633B7"/>
    <w:rsid w:val="003639C7"/>
    <w:rsid w:val="00364243"/>
    <w:rsid w:val="003701CF"/>
    <w:rsid w:val="003706A3"/>
    <w:rsid w:val="003824DE"/>
    <w:rsid w:val="003847BC"/>
    <w:rsid w:val="00386BD1"/>
    <w:rsid w:val="00390321"/>
    <w:rsid w:val="00391772"/>
    <w:rsid w:val="0039384C"/>
    <w:rsid w:val="00395814"/>
    <w:rsid w:val="003A13F7"/>
    <w:rsid w:val="003A7999"/>
    <w:rsid w:val="003B1F5D"/>
    <w:rsid w:val="003B1F6E"/>
    <w:rsid w:val="003B6542"/>
    <w:rsid w:val="003B7A3C"/>
    <w:rsid w:val="003B7F2F"/>
    <w:rsid w:val="003C2C90"/>
    <w:rsid w:val="003C3044"/>
    <w:rsid w:val="003C5617"/>
    <w:rsid w:val="003D57A9"/>
    <w:rsid w:val="003D63B0"/>
    <w:rsid w:val="003D722E"/>
    <w:rsid w:val="003D7B40"/>
    <w:rsid w:val="003E27AF"/>
    <w:rsid w:val="003E2B26"/>
    <w:rsid w:val="003E4D9D"/>
    <w:rsid w:val="003E5BDD"/>
    <w:rsid w:val="003E6831"/>
    <w:rsid w:val="003E696C"/>
    <w:rsid w:val="003E6D41"/>
    <w:rsid w:val="003E6E5C"/>
    <w:rsid w:val="003F0A7B"/>
    <w:rsid w:val="003F2F76"/>
    <w:rsid w:val="003F7056"/>
    <w:rsid w:val="003F7CB4"/>
    <w:rsid w:val="00400D88"/>
    <w:rsid w:val="00401E12"/>
    <w:rsid w:val="004031DA"/>
    <w:rsid w:val="00403B93"/>
    <w:rsid w:val="00406065"/>
    <w:rsid w:val="00407861"/>
    <w:rsid w:val="00407D6B"/>
    <w:rsid w:val="0041026F"/>
    <w:rsid w:val="00411088"/>
    <w:rsid w:val="004144D0"/>
    <w:rsid w:val="00416C66"/>
    <w:rsid w:val="004212E4"/>
    <w:rsid w:val="00423331"/>
    <w:rsid w:val="00426957"/>
    <w:rsid w:val="004323B1"/>
    <w:rsid w:val="00432CDB"/>
    <w:rsid w:val="0043446D"/>
    <w:rsid w:val="00434C68"/>
    <w:rsid w:val="00436800"/>
    <w:rsid w:val="00436A21"/>
    <w:rsid w:val="004415A0"/>
    <w:rsid w:val="00441FD3"/>
    <w:rsid w:val="00443030"/>
    <w:rsid w:val="00443DAA"/>
    <w:rsid w:val="00444349"/>
    <w:rsid w:val="004451FE"/>
    <w:rsid w:val="004461D9"/>
    <w:rsid w:val="00446C9A"/>
    <w:rsid w:val="00447BE2"/>
    <w:rsid w:val="00450C95"/>
    <w:rsid w:val="00450E06"/>
    <w:rsid w:val="004523F2"/>
    <w:rsid w:val="004537FB"/>
    <w:rsid w:val="00454AD4"/>
    <w:rsid w:val="00456537"/>
    <w:rsid w:val="0045732C"/>
    <w:rsid w:val="004579F1"/>
    <w:rsid w:val="00461A25"/>
    <w:rsid w:val="004639C3"/>
    <w:rsid w:val="004647B6"/>
    <w:rsid w:val="00466A87"/>
    <w:rsid w:val="00467760"/>
    <w:rsid w:val="00471A80"/>
    <w:rsid w:val="0047439B"/>
    <w:rsid w:val="00474D4C"/>
    <w:rsid w:val="00474E88"/>
    <w:rsid w:val="00475A10"/>
    <w:rsid w:val="00475B54"/>
    <w:rsid w:val="00476431"/>
    <w:rsid w:val="0047693D"/>
    <w:rsid w:val="004833AD"/>
    <w:rsid w:val="00484DFD"/>
    <w:rsid w:val="00486681"/>
    <w:rsid w:val="00487798"/>
    <w:rsid w:val="0049022D"/>
    <w:rsid w:val="00491026"/>
    <w:rsid w:val="004913EF"/>
    <w:rsid w:val="004918D3"/>
    <w:rsid w:val="00494997"/>
    <w:rsid w:val="00494C4F"/>
    <w:rsid w:val="004A0C97"/>
    <w:rsid w:val="004A0CCB"/>
    <w:rsid w:val="004A0E43"/>
    <w:rsid w:val="004A1054"/>
    <w:rsid w:val="004A16EF"/>
    <w:rsid w:val="004A43D1"/>
    <w:rsid w:val="004A639D"/>
    <w:rsid w:val="004B06E9"/>
    <w:rsid w:val="004B29F3"/>
    <w:rsid w:val="004B5547"/>
    <w:rsid w:val="004B66B3"/>
    <w:rsid w:val="004B7468"/>
    <w:rsid w:val="004B7493"/>
    <w:rsid w:val="004C0212"/>
    <w:rsid w:val="004C1480"/>
    <w:rsid w:val="004C1E0E"/>
    <w:rsid w:val="004C3BA8"/>
    <w:rsid w:val="004C3E06"/>
    <w:rsid w:val="004C5ED7"/>
    <w:rsid w:val="004C7644"/>
    <w:rsid w:val="004D2207"/>
    <w:rsid w:val="004D475C"/>
    <w:rsid w:val="004D5A34"/>
    <w:rsid w:val="004D6B86"/>
    <w:rsid w:val="004D73D0"/>
    <w:rsid w:val="004D77A6"/>
    <w:rsid w:val="004E015B"/>
    <w:rsid w:val="004E25DD"/>
    <w:rsid w:val="004E43DE"/>
    <w:rsid w:val="004F1094"/>
    <w:rsid w:val="00500A5D"/>
    <w:rsid w:val="00501278"/>
    <w:rsid w:val="00502545"/>
    <w:rsid w:val="0050254F"/>
    <w:rsid w:val="0050309B"/>
    <w:rsid w:val="005033AA"/>
    <w:rsid w:val="00504DFA"/>
    <w:rsid w:val="005053E6"/>
    <w:rsid w:val="00505B33"/>
    <w:rsid w:val="005064A6"/>
    <w:rsid w:val="00512ED9"/>
    <w:rsid w:val="005142E2"/>
    <w:rsid w:val="0051484F"/>
    <w:rsid w:val="00514E36"/>
    <w:rsid w:val="005155A9"/>
    <w:rsid w:val="00521FA1"/>
    <w:rsid w:val="00521FE4"/>
    <w:rsid w:val="00530533"/>
    <w:rsid w:val="00533B59"/>
    <w:rsid w:val="005342C2"/>
    <w:rsid w:val="00535681"/>
    <w:rsid w:val="00537DB5"/>
    <w:rsid w:val="00542455"/>
    <w:rsid w:val="00551CE4"/>
    <w:rsid w:val="00553773"/>
    <w:rsid w:val="00553CE9"/>
    <w:rsid w:val="00554854"/>
    <w:rsid w:val="005551EC"/>
    <w:rsid w:val="005569B1"/>
    <w:rsid w:val="00557690"/>
    <w:rsid w:val="005610D0"/>
    <w:rsid w:val="00561B36"/>
    <w:rsid w:val="00562A5B"/>
    <w:rsid w:val="0056483F"/>
    <w:rsid w:val="005650AA"/>
    <w:rsid w:val="005657C7"/>
    <w:rsid w:val="00566D8E"/>
    <w:rsid w:val="00567B0F"/>
    <w:rsid w:val="005707BA"/>
    <w:rsid w:val="00570D0E"/>
    <w:rsid w:val="0057368E"/>
    <w:rsid w:val="00577629"/>
    <w:rsid w:val="005822F2"/>
    <w:rsid w:val="00584D0C"/>
    <w:rsid w:val="005939EF"/>
    <w:rsid w:val="00593A25"/>
    <w:rsid w:val="00594ABE"/>
    <w:rsid w:val="00596033"/>
    <w:rsid w:val="00596320"/>
    <w:rsid w:val="00596B8A"/>
    <w:rsid w:val="005A16A8"/>
    <w:rsid w:val="005A3645"/>
    <w:rsid w:val="005A5581"/>
    <w:rsid w:val="005B1095"/>
    <w:rsid w:val="005B2505"/>
    <w:rsid w:val="005B2A06"/>
    <w:rsid w:val="005B3815"/>
    <w:rsid w:val="005B5F9F"/>
    <w:rsid w:val="005B687B"/>
    <w:rsid w:val="005B70BB"/>
    <w:rsid w:val="005C0503"/>
    <w:rsid w:val="005C0F57"/>
    <w:rsid w:val="005C3084"/>
    <w:rsid w:val="005C328A"/>
    <w:rsid w:val="005C3824"/>
    <w:rsid w:val="005C3996"/>
    <w:rsid w:val="005C3C8A"/>
    <w:rsid w:val="005C45FA"/>
    <w:rsid w:val="005C471A"/>
    <w:rsid w:val="005C4D20"/>
    <w:rsid w:val="005C5584"/>
    <w:rsid w:val="005D222E"/>
    <w:rsid w:val="005D789B"/>
    <w:rsid w:val="005E0B63"/>
    <w:rsid w:val="005E3398"/>
    <w:rsid w:val="005E5BC1"/>
    <w:rsid w:val="005E5CFE"/>
    <w:rsid w:val="005F5013"/>
    <w:rsid w:val="005F5487"/>
    <w:rsid w:val="005F74FF"/>
    <w:rsid w:val="005F7CC7"/>
    <w:rsid w:val="00602F2E"/>
    <w:rsid w:val="00603751"/>
    <w:rsid w:val="00603C8C"/>
    <w:rsid w:val="00604345"/>
    <w:rsid w:val="0061315F"/>
    <w:rsid w:val="00613978"/>
    <w:rsid w:val="00621F5A"/>
    <w:rsid w:val="00623EAF"/>
    <w:rsid w:val="00624031"/>
    <w:rsid w:val="00624C28"/>
    <w:rsid w:val="00625230"/>
    <w:rsid w:val="00625D16"/>
    <w:rsid w:val="00626DC2"/>
    <w:rsid w:val="00627AD5"/>
    <w:rsid w:val="00634B36"/>
    <w:rsid w:val="00636A6B"/>
    <w:rsid w:val="00637963"/>
    <w:rsid w:val="00637CB6"/>
    <w:rsid w:val="00640864"/>
    <w:rsid w:val="006408F3"/>
    <w:rsid w:val="00644FF3"/>
    <w:rsid w:val="00645907"/>
    <w:rsid w:val="00646175"/>
    <w:rsid w:val="00651455"/>
    <w:rsid w:val="00651641"/>
    <w:rsid w:val="006529C2"/>
    <w:rsid w:val="006548AB"/>
    <w:rsid w:val="006603F7"/>
    <w:rsid w:val="006605D1"/>
    <w:rsid w:val="00660B0C"/>
    <w:rsid w:val="006616F8"/>
    <w:rsid w:val="006646BA"/>
    <w:rsid w:val="0066517B"/>
    <w:rsid w:val="00665B5F"/>
    <w:rsid w:val="0067025D"/>
    <w:rsid w:val="00671580"/>
    <w:rsid w:val="00671588"/>
    <w:rsid w:val="00672136"/>
    <w:rsid w:val="00672965"/>
    <w:rsid w:val="00673932"/>
    <w:rsid w:val="00676851"/>
    <w:rsid w:val="00676CD7"/>
    <w:rsid w:val="00680FA4"/>
    <w:rsid w:val="0068142A"/>
    <w:rsid w:val="0068626B"/>
    <w:rsid w:val="00686AF6"/>
    <w:rsid w:val="00687DA6"/>
    <w:rsid w:val="00690FDC"/>
    <w:rsid w:val="00691337"/>
    <w:rsid w:val="00691449"/>
    <w:rsid w:val="00692B19"/>
    <w:rsid w:val="006931FB"/>
    <w:rsid w:val="006949D0"/>
    <w:rsid w:val="00694B38"/>
    <w:rsid w:val="006951A1"/>
    <w:rsid w:val="0069576E"/>
    <w:rsid w:val="00697327"/>
    <w:rsid w:val="006979D6"/>
    <w:rsid w:val="00697AAC"/>
    <w:rsid w:val="006A1032"/>
    <w:rsid w:val="006A1426"/>
    <w:rsid w:val="006A2561"/>
    <w:rsid w:val="006A5114"/>
    <w:rsid w:val="006A690C"/>
    <w:rsid w:val="006A6BA7"/>
    <w:rsid w:val="006B0521"/>
    <w:rsid w:val="006B0D38"/>
    <w:rsid w:val="006B40F6"/>
    <w:rsid w:val="006B4FB2"/>
    <w:rsid w:val="006B5278"/>
    <w:rsid w:val="006B56F8"/>
    <w:rsid w:val="006C0CFA"/>
    <w:rsid w:val="006C0EBB"/>
    <w:rsid w:val="006C14EC"/>
    <w:rsid w:val="006C4973"/>
    <w:rsid w:val="006C4D38"/>
    <w:rsid w:val="006C549D"/>
    <w:rsid w:val="006C5825"/>
    <w:rsid w:val="006D1B3C"/>
    <w:rsid w:val="006D1B59"/>
    <w:rsid w:val="006D4269"/>
    <w:rsid w:val="006D54AA"/>
    <w:rsid w:val="006D57E1"/>
    <w:rsid w:val="006D7625"/>
    <w:rsid w:val="006D796C"/>
    <w:rsid w:val="006E21B9"/>
    <w:rsid w:val="006E3CB7"/>
    <w:rsid w:val="006E43E3"/>
    <w:rsid w:val="006E7D73"/>
    <w:rsid w:val="006F06D3"/>
    <w:rsid w:val="006F3AFD"/>
    <w:rsid w:val="006F41A2"/>
    <w:rsid w:val="006F4BCD"/>
    <w:rsid w:val="006F61B6"/>
    <w:rsid w:val="007001D9"/>
    <w:rsid w:val="007008EA"/>
    <w:rsid w:val="0070172D"/>
    <w:rsid w:val="007045E7"/>
    <w:rsid w:val="00704930"/>
    <w:rsid w:val="00704A91"/>
    <w:rsid w:val="007062BC"/>
    <w:rsid w:val="007069BE"/>
    <w:rsid w:val="007077EB"/>
    <w:rsid w:val="007114FA"/>
    <w:rsid w:val="007129A9"/>
    <w:rsid w:val="00712B47"/>
    <w:rsid w:val="00712BBE"/>
    <w:rsid w:val="007131A4"/>
    <w:rsid w:val="00720F2B"/>
    <w:rsid w:val="00722325"/>
    <w:rsid w:val="0072354C"/>
    <w:rsid w:val="00724F54"/>
    <w:rsid w:val="00726827"/>
    <w:rsid w:val="00726C6F"/>
    <w:rsid w:val="00730446"/>
    <w:rsid w:val="00730F21"/>
    <w:rsid w:val="0073256B"/>
    <w:rsid w:val="007344E6"/>
    <w:rsid w:val="00736072"/>
    <w:rsid w:val="00737B2D"/>
    <w:rsid w:val="00741C88"/>
    <w:rsid w:val="007441CA"/>
    <w:rsid w:val="00746232"/>
    <w:rsid w:val="00750060"/>
    <w:rsid w:val="0075032A"/>
    <w:rsid w:val="0075146B"/>
    <w:rsid w:val="00751DEB"/>
    <w:rsid w:val="00755084"/>
    <w:rsid w:val="00755F18"/>
    <w:rsid w:val="007619FA"/>
    <w:rsid w:val="00761B10"/>
    <w:rsid w:val="00762F04"/>
    <w:rsid w:val="00763ABF"/>
    <w:rsid w:val="00766EE8"/>
    <w:rsid w:val="00771ACB"/>
    <w:rsid w:val="00774173"/>
    <w:rsid w:val="0078065D"/>
    <w:rsid w:val="00782969"/>
    <w:rsid w:val="00783CE6"/>
    <w:rsid w:val="00784E91"/>
    <w:rsid w:val="0078658E"/>
    <w:rsid w:val="007865F7"/>
    <w:rsid w:val="007875F2"/>
    <w:rsid w:val="0078780C"/>
    <w:rsid w:val="00790AD1"/>
    <w:rsid w:val="00790BC2"/>
    <w:rsid w:val="00790C13"/>
    <w:rsid w:val="0079105A"/>
    <w:rsid w:val="0079225D"/>
    <w:rsid w:val="00793B73"/>
    <w:rsid w:val="007943EC"/>
    <w:rsid w:val="00794B85"/>
    <w:rsid w:val="00794BB3"/>
    <w:rsid w:val="0079627C"/>
    <w:rsid w:val="00797B16"/>
    <w:rsid w:val="00797E64"/>
    <w:rsid w:val="007A0FF6"/>
    <w:rsid w:val="007A2C39"/>
    <w:rsid w:val="007A303B"/>
    <w:rsid w:val="007A4F9B"/>
    <w:rsid w:val="007A546E"/>
    <w:rsid w:val="007A5AB0"/>
    <w:rsid w:val="007B210F"/>
    <w:rsid w:val="007B409D"/>
    <w:rsid w:val="007B4672"/>
    <w:rsid w:val="007C0B68"/>
    <w:rsid w:val="007C6FF4"/>
    <w:rsid w:val="007D2CF4"/>
    <w:rsid w:val="007D456D"/>
    <w:rsid w:val="007D4FE4"/>
    <w:rsid w:val="007D4FE8"/>
    <w:rsid w:val="007D5682"/>
    <w:rsid w:val="007D56A9"/>
    <w:rsid w:val="007E041D"/>
    <w:rsid w:val="007E0D0D"/>
    <w:rsid w:val="007E3822"/>
    <w:rsid w:val="007E6C5E"/>
    <w:rsid w:val="007E7EB6"/>
    <w:rsid w:val="007F0C57"/>
    <w:rsid w:val="007F0DD6"/>
    <w:rsid w:val="007F16D9"/>
    <w:rsid w:val="00802E7F"/>
    <w:rsid w:val="00804A55"/>
    <w:rsid w:val="00804DC3"/>
    <w:rsid w:val="00805C0C"/>
    <w:rsid w:val="00806A3F"/>
    <w:rsid w:val="00806E9D"/>
    <w:rsid w:val="008079A3"/>
    <w:rsid w:val="008112B1"/>
    <w:rsid w:val="00811B6E"/>
    <w:rsid w:val="0081289A"/>
    <w:rsid w:val="00814AE0"/>
    <w:rsid w:val="008173E2"/>
    <w:rsid w:val="00817AF7"/>
    <w:rsid w:val="0082398B"/>
    <w:rsid w:val="0082426A"/>
    <w:rsid w:val="0082523E"/>
    <w:rsid w:val="008305BA"/>
    <w:rsid w:val="00830EE6"/>
    <w:rsid w:val="008322BB"/>
    <w:rsid w:val="00832621"/>
    <w:rsid w:val="00833F65"/>
    <w:rsid w:val="00836ECF"/>
    <w:rsid w:val="008372EC"/>
    <w:rsid w:val="00837475"/>
    <w:rsid w:val="00841771"/>
    <w:rsid w:val="00842AC5"/>
    <w:rsid w:val="00851482"/>
    <w:rsid w:val="008524D7"/>
    <w:rsid w:val="00852695"/>
    <w:rsid w:val="008539DA"/>
    <w:rsid w:val="00853E01"/>
    <w:rsid w:val="00857609"/>
    <w:rsid w:val="008579C3"/>
    <w:rsid w:val="0087116E"/>
    <w:rsid w:val="008712E9"/>
    <w:rsid w:val="00874770"/>
    <w:rsid w:val="008747BA"/>
    <w:rsid w:val="0087743D"/>
    <w:rsid w:val="0087781E"/>
    <w:rsid w:val="00882CD0"/>
    <w:rsid w:val="008832A0"/>
    <w:rsid w:val="0088396A"/>
    <w:rsid w:val="008841BF"/>
    <w:rsid w:val="00885021"/>
    <w:rsid w:val="008852A9"/>
    <w:rsid w:val="0088637F"/>
    <w:rsid w:val="008870DD"/>
    <w:rsid w:val="0088791E"/>
    <w:rsid w:val="008909C6"/>
    <w:rsid w:val="008916D8"/>
    <w:rsid w:val="00891919"/>
    <w:rsid w:val="008A15A3"/>
    <w:rsid w:val="008A20DB"/>
    <w:rsid w:val="008A3164"/>
    <w:rsid w:val="008A489B"/>
    <w:rsid w:val="008A5185"/>
    <w:rsid w:val="008B30AC"/>
    <w:rsid w:val="008B441C"/>
    <w:rsid w:val="008B739A"/>
    <w:rsid w:val="008C03F5"/>
    <w:rsid w:val="008C1262"/>
    <w:rsid w:val="008C1978"/>
    <w:rsid w:val="008C1EE3"/>
    <w:rsid w:val="008C3B2D"/>
    <w:rsid w:val="008C48E9"/>
    <w:rsid w:val="008D3959"/>
    <w:rsid w:val="008D7907"/>
    <w:rsid w:val="008E01E3"/>
    <w:rsid w:val="008E4CEE"/>
    <w:rsid w:val="008E4F95"/>
    <w:rsid w:val="008E505B"/>
    <w:rsid w:val="008E73BF"/>
    <w:rsid w:val="008E77C0"/>
    <w:rsid w:val="008F0235"/>
    <w:rsid w:val="008F1751"/>
    <w:rsid w:val="008F26B7"/>
    <w:rsid w:val="008F508C"/>
    <w:rsid w:val="00900987"/>
    <w:rsid w:val="00903972"/>
    <w:rsid w:val="00904036"/>
    <w:rsid w:val="009046FC"/>
    <w:rsid w:val="00904860"/>
    <w:rsid w:val="009050BA"/>
    <w:rsid w:val="009066F9"/>
    <w:rsid w:val="0090762A"/>
    <w:rsid w:val="00910E25"/>
    <w:rsid w:val="009121C9"/>
    <w:rsid w:val="00915352"/>
    <w:rsid w:val="009157D7"/>
    <w:rsid w:val="0092034A"/>
    <w:rsid w:val="009220CA"/>
    <w:rsid w:val="0092566F"/>
    <w:rsid w:val="0092691F"/>
    <w:rsid w:val="00926C1D"/>
    <w:rsid w:val="00927930"/>
    <w:rsid w:val="00927FD4"/>
    <w:rsid w:val="009323F3"/>
    <w:rsid w:val="00932E87"/>
    <w:rsid w:val="009345DF"/>
    <w:rsid w:val="0093517D"/>
    <w:rsid w:val="00940A87"/>
    <w:rsid w:val="00942881"/>
    <w:rsid w:val="00951BEA"/>
    <w:rsid w:val="00954A51"/>
    <w:rsid w:val="009557D7"/>
    <w:rsid w:val="0095786B"/>
    <w:rsid w:val="00961C22"/>
    <w:rsid w:val="00961D0D"/>
    <w:rsid w:val="00961E6F"/>
    <w:rsid w:val="009631FE"/>
    <w:rsid w:val="0096523F"/>
    <w:rsid w:val="009717AF"/>
    <w:rsid w:val="00973B36"/>
    <w:rsid w:val="00974062"/>
    <w:rsid w:val="00977427"/>
    <w:rsid w:val="00980AD5"/>
    <w:rsid w:val="00982ABD"/>
    <w:rsid w:val="00983020"/>
    <w:rsid w:val="009843B6"/>
    <w:rsid w:val="00987272"/>
    <w:rsid w:val="009923E0"/>
    <w:rsid w:val="009973FF"/>
    <w:rsid w:val="009A069F"/>
    <w:rsid w:val="009A2A41"/>
    <w:rsid w:val="009A66E7"/>
    <w:rsid w:val="009B034D"/>
    <w:rsid w:val="009B1FCF"/>
    <w:rsid w:val="009B28C6"/>
    <w:rsid w:val="009B2CB3"/>
    <w:rsid w:val="009B40C4"/>
    <w:rsid w:val="009B5713"/>
    <w:rsid w:val="009B7326"/>
    <w:rsid w:val="009C02E6"/>
    <w:rsid w:val="009C1A4C"/>
    <w:rsid w:val="009C4815"/>
    <w:rsid w:val="009D1B86"/>
    <w:rsid w:val="009D224B"/>
    <w:rsid w:val="009D2700"/>
    <w:rsid w:val="009D28C6"/>
    <w:rsid w:val="009D3F47"/>
    <w:rsid w:val="009D43C4"/>
    <w:rsid w:val="009D603B"/>
    <w:rsid w:val="009E3045"/>
    <w:rsid w:val="009E480D"/>
    <w:rsid w:val="009E5F83"/>
    <w:rsid w:val="009E6BDF"/>
    <w:rsid w:val="009E7F8A"/>
    <w:rsid w:val="009F19AB"/>
    <w:rsid w:val="009F234B"/>
    <w:rsid w:val="009F2540"/>
    <w:rsid w:val="009F2A44"/>
    <w:rsid w:val="009F30CA"/>
    <w:rsid w:val="009F5A1F"/>
    <w:rsid w:val="009F725F"/>
    <w:rsid w:val="00A0297C"/>
    <w:rsid w:val="00A04D30"/>
    <w:rsid w:val="00A04F1C"/>
    <w:rsid w:val="00A051F4"/>
    <w:rsid w:val="00A05D0F"/>
    <w:rsid w:val="00A079AF"/>
    <w:rsid w:val="00A149E7"/>
    <w:rsid w:val="00A16E75"/>
    <w:rsid w:val="00A205D1"/>
    <w:rsid w:val="00A20A3C"/>
    <w:rsid w:val="00A20C7C"/>
    <w:rsid w:val="00A20EB2"/>
    <w:rsid w:val="00A20F83"/>
    <w:rsid w:val="00A2116F"/>
    <w:rsid w:val="00A2240C"/>
    <w:rsid w:val="00A2286C"/>
    <w:rsid w:val="00A247E1"/>
    <w:rsid w:val="00A24BD6"/>
    <w:rsid w:val="00A25F7F"/>
    <w:rsid w:val="00A26390"/>
    <w:rsid w:val="00A2644D"/>
    <w:rsid w:val="00A272F1"/>
    <w:rsid w:val="00A27F27"/>
    <w:rsid w:val="00A31896"/>
    <w:rsid w:val="00A33633"/>
    <w:rsid w:val="00A3467B"/>
    <w:rsid w:val="00A3772C"/>
    <w:rsid w:val="00A37D60"/>
    <w:rsid w:val="00A40136"/>
    <w:rsid w:val="00A42BEA"/>
    <w:rsid w:val="00A43EF2"/>
    <w:rsid w:val="00A45459"/>
    <w:rsid w:val="00A45718"/>
    <w:rsid w:val="00A46A96"/>
    <w:rsid w:val="00A4709C"/>
    <w:rsid w:val="00A47DB4"/>
    <w:rsid w:val="00A541D7"/>
    <w:rsid w:val="00A54FF5"/>
    <w:rsid w:val="00A56A5D"/>
    <w:rsid w:val="00A575FE"/>
    <w:rsid w:val="00A600CA"/>
    <w:rsid w:val="00A60616"/>
    <w:rsid w:val="00A64692"/>
    <w:rsid w:val="00A65C3E"/>
    <w:rsid w:val="00A65DB1"/>
    <w:rsid w:val="00A66DD9"/>
    <w:rsid w:val="00A67D7C"/>
    <w:rsid w:val="00A70AA7"/>
    <w:rsid w:val="00A70B6D"/>
    <w:rsid w:val="00A71665"/>
    <w:rsid w:val="00A71FAD"/>
    <w:rsid w:val="00A729E4"/>
    <w:rsid w:val="00A7308A"/>
    <w:rsid w:val="00A77381"/>
    <w:rsid w:val="00A8272B"/>
    <w:rsid w:val="00A83947"/>
    <w:rsid w:val="00A86094"/>
    <w:rsid w:val="00A938A2"/>
    <w:rsid w:val="00A93CF1"/>
    <w:rsid w:val="00A94DE3"/>
    <w:rsid w:val="00A969AC"/>
    <w:rsid w:val="00A97BC4"/>
    <w:rsid w:val="00AA150F"/>
    <w:rsid w:val="00AA3A0B"/>
    <w:rsid w:val="00AA3FF8"/>
    <w:rsid w:val="00AA4731"/>
    <w:rsid w:val="00AA5757"/>
    <w:rsid w:val="00AA7E84"/>
    <w:rsid w:val="00AA7F02"/>
    <w:rsid w:val="00AB0660"/>
    <w:rsid w:val="00AB3B9E"/>
    <w:rsid w:val="00AC2132"/>
    <w:rsid w:val="00AC26A3"/>
    <w:rsid w:val="00AC29D8"/>
    <w:rsid w:val="00AC3CB4"/>
    <w:rsid w:val="00AC6E17"/>
    <w:rsid w:val="00AD1D62"/>
    <w:rsid w:val="00AD3035"/>
    <w:rsid w:val="00AD720D"/>
    <w:rsid w:val="00AD7741"/>
    <w:rsid w:val="00AE0490"/>
    <w:rsid w:val="00AE2C75"/>
    <w:rsid w:val="00AE40DA"/>
    <w:rsid w:val="00AE414F"/>
    <w:rsid w:val="00AF2E4D"/>
    <w:rsid w:val="00AF4BD3"/>
    <w:rsid w:val="00AF6903"/>
    <w:rsid w:val="00B00B17"/>
    <w:rsid w:val="00B03D41"/>
    <w:rsid w:val="00B056D2"/>
    <w:rsid w:val="00B064A8"/>
    <w:rsid w:val="00B066DC"/>
    <w:rsid w:val="00B071D8"/>
    <w:rsid w:val="00B07C35"/>
    <w:rsid w:val="00B127AA"/>
    <w:rsid w:val="00B151D4"/>
    <w:rsid w:val="00B17FE3"/>
    <w:rsid w:val="00B20AAF"/>
    <w:rsid w:val="00B20B68"/>
    <w:rsid w:val="00B229D0"/>
    <w:rsid w:val="00B27A69"/>
    <w:rsid w:val="00B27C7B"/>
    <w:rsid w:val="00B321BF"/>
    <w:rsid w:val="00B369F6"/>
    <w:rsid w:val="00B36CF1"/>
    <w:rsid w:val="00B36F43"/>
    <w:rsid w:val="00B37241"/>
    <w:rsid w:val="00B41B6D"/>
    <w:rsid w:val="00B42445"/>
    <w:rsid w:val="00B42AF1"/>
    <w:rsid w:val="00B42C25"/>
    <w:rsid w:val="00B44129"/>
    <w:rsid w:val="00B478D8"/>
    <w:rsid w:val="00B505CA"/>
    <w:rsid w:val="00B52C31"/>
    <w:rsid w:val="00B53166"/>
    <w:rsid w:val="00B540F7"/>
    <w:rsid w:val="00B6092F"/>
    <w:rsid w:val="00B622D7"/>
    <w:rsid w:val="00B676F6"/>
    <w:rsid w:val="00B67F2D"/>
    <w:rsid w:val="00B71B0B"/>
    <w:rsid w:val="00B72224"/>
    <w:rsid w:val="00B7639D"/>
    <w:rsid w:val="00B776FB"/>
    <w:rsid w:val="00B77E54"/>
    <w:rsid w:val="00B829BF"/>
    <w:rsid w:val="00B8527D"/>
    <w:rsid w:val="00B9148B"/>
    <w:rsid w:val="00B915EC"/>
    <w:rsid w:val="00B9161E"/>
    <w:rsid w:val="00B92C20"/>
    <w:rsid w:val="00B92E87"/>
    <w:rsid w:val="00B92F8A"/>
    <w:rsid w:val="00B93ABB"/>
    <w:rsid w:val="00B957A3"/>
    <w:rsid w:val="00B95E60"/>
    <w:rsid w:val="00B96289"/>
    <w:rsid w:val="00BA09AF"/>
    <w:rsid w:val="00BA0A57"/>
    <w:rsid w:val="00BA31BB"/>
    <w:rsid w:val="00BA4ACB"/>
    <w:rsid w:val="00BA4E69"/>
    <w:rsid w:val="00BA7932"/>
    <w:rsid w:val="00BB2220"/>
    <w:rsid w:val="00BB27BD"/>
    <w:rsid w:val="00BB4F8C"/>
    <w:rsid w:val="00BB5D12"/>
    <w:rsid w:val="00BB7322"/>
    <w:rsid w:val="00BC190A"/>
    <w:rsid w:val="00BC1A56"/>
    <w:rsid w:val="00BC2342"/>
    <w:rsid w:val="00BC314C"/>
    <w:rsid w:val="00BC3C5E"/>
    <w:rsid w:val="00BC55D5"/>
    <w:rsid w:val="00BC7AE1"/>
    <w:rsid w:val="00BD1193"/>
    <w:rsid w:val="00BD2B4E"/>
    <w:rsid w:val="00BD4F16"/>
    <w:rsid w:val="00BD5962"/>
    <w:rsid w:val="00BE4EDA"/>
    <w:rsid w:val="00BF3B00"/>
    <w:rsid w:val="00BF5DC7"/>
    <w:rsid w:val="00BF748C"/>
    <w:rsid w:val="00BF7F05"/>
    <w:rsid w:val="00C0000F"/>
    <w:rsid w:val="00C01945"/>
    <w:rsid w:val="00C032AD"/>
    <w:rsid w:val="00C035C1"/>
    <w:rsid w:val="00C05251"/>
    <w:rsid w:val="00C05533"/>
    <w:rsid w:val="00C05F03"/>
    <w:rsid w:val="00C0678B"/>
    <w:rsid w:val="00C1297E"/>
    <w:rsid w:val="00C22ACD"/>
    <w:rsid w:val="00C23C69"/>
    <w:rsid w:val="00C23EAC"/>
    <w:rsid w:val="00C2483E"/>
    <w:rsid w:val="00C24B78"/>
    <w:rsid w:val="00C253CE"/>
    <w:rsid w:val="00C25A52"/>
    <w:rsid w:val="00C262C2"/>
    <w:rsid w:val="00C30AF4"/>
    <w:rsid w:val="00C33076"/>
    <w:rsid w:val="00C356D8"/>
    <w:rsid w:val="00C36377"/>
    <w:rsid w:val="00C37234"/>
    <w:rsid w:val="00C37ECA"/>
    <w:rsid w:val="00C40CF6"/>
    <w:rsid w:val="00C40DE5"/>
    <w:rsid w:val="00C412D6"/>
    <w:rsid w:val="00C41337"/>
    <w:rsid w:val="00C43492"/>
    <w:rsid w:val="00C44E99"/>
    <w:rsid w:val="00C46224"/>
    <w:rsid w:val="00C46E7D"/>
    <w:rsid w:val="00C52C86"/>
    <w:rsid w:val="00C55453"/>
    <w:rsid w:val="00C5616E"/>
    <w:rsid w:val="00C61694"/>
    <w:rsid w:val="00C620CE"/>
    <w:rsid w:val="00C627BA"/>
    <w:rsid w:val="00C63ABF"/>
    <w:rsid w:val="00C64085"/>
    <w:rsid w:val="00C64290"/>
    <w:rsid w:val="00C65C85"/>
    <w:rsid w:val="00C67262"/>
    <w:rsid w:val="00C67F62"/>
    <w:rsid w:val="00C70154"/>
    <w:rsid w:val="00C80F62"/>
    <w:rsid w:val="00C83716"/>
    <w:rsid w:val="00C862D6"/>
    <w:rsid w:val="00C866E4"/>
    <w:rsid w:val="00C907FA"/>
    <w:rsid w:val="00C934B5"/>
    <w:rsid w:val="00CA0105"/>
    <w:rsid w:val="00CA2444"/>
    <w:rsid w:val="00CA2538"/>
    <w:rsid w:val="00CA2786"/>
    <w:rsid w:val="00CA4C6B"/>
    <w:rsid w:val="00CA5B3B"/>
    <w:rsid w:val="00CA6DE5"/>
    <w:rsid w:val="00CB04E0"/>
    <w:rsid w:val="00CB07A9"/>
    <w:rsid w:val="00CB0DFF"/>
    <w:rsid w:val="00CB151C"/>
    <w:rsid w:val="00CB204C"/>
    <w:rsid w:val="00CB42EB"/>
    <w:rsid w:val="00CB4F74"/>
    <w:rsid w:val="00CB5062"/>
    <w:rsid w:val="00CB56EC"/>
    <w:rsid w:val="00CB67D4"/>
    <w:rsid w:val="00CC4D69"/>
    <w:rsid w:val="00CC6619"/>
    <w:rsid w:val="00CC6757"/>
    <w:rsid w:val="00CD2C4E"/>
    <w:rsid w:val="00CD2CDB"/>
    <w:rsid w:val="00CD39CA"/>
    <w:rsid w:val="00CD3EA9"/>
    <w:rsid w:val="00CD5B87"/>
    <w:rsid w:val="00CD701A"/>
    <w:rsid w:val="00CE0AF8"/>
    <w:rsid w:val="00CE4561"/>
    <w:rsid w:val="00CF0F0E"/>
    <w:rsid w:val="00CF1E24"/>
    <w:rsid w:val="00CF38B8"/>
    <w:rsid w:val="00CF3DA9"/>
    <w:rsid w:val="00CF57B7"/>
    <w:rsid w:val="00CF5815"/>
    <w:rsid w:val="00D00788"/>
    <w:rsid w:val="00D00A3E"/>
    <w:rsid w:val="00D07F14"/>
    <w:rsid w:val="00D10844"/>
    <w:rsid w:val="00D15C0A"/>
    <w:rsid w:val="00D1636E"/>
    <w:rsid w:val="00D16E38"/>
    <w:rsid w:val="00D2334B"/>
    <w:rsid w:val="00D24537"/>
    <w:rsid w:val="00D27A45"/>
    <w:rsid w:val="00D27EFD"/>
    <w:rsid w:val="00D30604"/>
    <w:rsid w:val="00D30FC9"/>
    <w:rsid w:val="00D34120"/>
    <w:rsid w:val="00D378AA"/>
    <w:rsid w:val="00D4286E"/>
    <w:rsid w:val="00D43B79"/>
    <w:rsid w:val="00D43E80"/>
    <w:rsid w:val="00D4574B"/>
    <w:rsid w:val="00D4590D"/>
    <w:rsid w:val="00D47035"/>
    <w:rsid w:val="00D47676"/>
    <w:rsid w:val="00D516A7"/>
    <w:rsid w:val="00D5265B"/>
    <w:rsid w:val="00D53687"/>
    <w:rsid w:val="00D54ACA"/>
    <w:rsid w:val="00D55530"/>
    <w:rsid w:val="00D602FE"/>
    <w:rsid w:val="00D63DE5"/>
    <w:rsid w:val="00D650A6"/>
    <w:rsid w:val="00D66F8F"/>
    <w:rsid w:val="00D7306E"/>
    <w:rsid w:val="00D731FD"/>
    <w:rsid w:val="00D738A1"/>
    <w:rsid w:val="00D76036"/>
    <w:rsid w:val="00D77F28"/>
    <w:rsid w:val="00D80285"/>
    <w:rsid w:val="00D804CC"/>
    <w:rsid w:val="00D80A19"/>
    <w:rsid w:val="00D80BC0"/>
    <w:rsid w:val="00D82BB9"/>
    <w:rsid w:val="00D8440B"/>
    <w:rsid w:val="00D851F2"/>
    <w:rsid w:val="00D86F02"/>
    <w:rsid w:val="00D873F2"/>
    <w:rsid w:val="00D90006"/>
    <w:rsid w:val="00D904A8"/>
    <w:rsid w:val="00D905F8"/>
    <w:rsid w:val="00D94D95"/>
    <w:rsid w:val="00D953C3"/>
    <w:rsid w:val="00D97BAE"/>
    <w:rsid w:val="00DA1002"/>
    <w:rsid w:val="00DA2F4B"/>
    <w:rsid w:val="00DA3350"/>
    <w:rsid w:val="00DA398D"/>
    <w:rsid w:val="00DA53AD"/>
    <w:rsid w:val="00DA783B"/>
    <w:rsid w:val="00DB072A"/>
    <w:rsid w:val="00DB407C"/>
    <w:rsid w:val="00DB5AE2"/>
    <w:rsid w:val="00DC17A7"/>
    <w:rsid w:val="00DC630D"/>
    <w:rsid w:val="00DC773A"/>
    <w:rsid w:val="00DD0C8E"/>
    <w:rsid w:val="00DD1F23"/>
    <w:rsid w:val="00DD38C5"/>
    <w:rsid w:val="00DD5F4F"/>
    <w:rsid w:val="00DE17F2"/>
    <w:rsid w:val="00DE5D4F"/>
    <w:rsid w:val="00DE6F03"/>
    <w:rsid w:val="00DF23D3"/>
    <w:rsid w:val="00DF32B7"/>
    <w:rsid w:val="00DF7672"/>
    <w:rsid w:val="00DF7EDC"/>
    <w:rsid w:val="00E007B7"/>
    <w:rsid w:val="00E011BE"/>
    <w:rsid w:val="00E0150F"/>
    <w:rsid w:val="00E03526"/>
    <w:rsid w:val="00E04FB6"/>
    <w:rsid w:val="00E07851"/>
    <w:rsid w:val="00E1376D"/>
    <w:rsid w:val="00E1786E"/>
    <w:rsid w:val="00E22EED"/>
    <w:rsid w:val="00E26C09"/>
    <w:rsid w:val="00E32922"/>
    <w:rsid w:val="00E330F1"/>
    <w:rsid w:val="00E33176"/>
    <w:rsid w:val="00E35171"/>
    <w:rsid w:val="00E35210"/>
    <w:rsid w:val="00E421D9"/>
    <w:rsid w:val="00E46E10"/>
    <w:rsid w:val="00E50977"/>
    <w:rsid w:val="00E5258A"/>
    <w:rsid w:val="00E539BB"/>
    <w:rsid w:val="00E545FD"/>
    <w:rsid w:val="00E546E1"/>
    <w:rsid w:val="00E54858"/>
    <w:rsid w:val="00E56911"/>
    <w:rsid w:val="00E5761F"/>
    <w:rsid w:val="00E64B98"/>
    <w:rsid w:val="00E66337"/>
    <w:rsid w:val="00E67189"/>
    <w:rsid w:val="00E67365"/>
    <w:rsid w:val="00E71864"/>
    <w:rsid w:val="00E770D0"/>
    <w:rsid w:val="00E80C2D"/>
    <w:rsid w:val="00E81E2E"/>
    <w:rsid w:val="00E82417"/>
    <w:rsid w:val="00E8299A"/>
    <w:rsid w:val="00E84925"/>
    <w:rsid w:val="00E86D66"/>
    <w:rsid w:val="00E877D3"/>
    <w:rsid w:val="00E922BB"/>
    <w:rsid w:val="00E92948"/>
    <w:rsid w:val="00E938B3"/>
    <w:rsid w:val="00E94F06"/>
    <w:rsid w:val="00E95745"/>
    <w:rsid w:val="00E960C8"/>
    <w:rsid w:val="00E966C5"/>
    <w:rsid w:val="00E96E48"/>
    <w:rsid w:val="00EA0E66"/>
    <w:rsid w:val="00EA22E3"/>
    <w:rsid w:val="00EA2537"/>
    <w:rsid w:val="00EA30B6"/>
    <w:rsid w:val="00EA5FF1"/>
    <w:rsid w:val="00EA77FC"/>
    <w:rsid w:val="00EA7D28"/>
    <w:rsid w:val="00EB14F5"/>
    <w:rsid w:val="00EB26F5"/>
    <w:rsid w:val="00EB5787"/>
    <w:rsid w:val="00EB61DE"/>
    <w:rsid w:val="00EB6285"/>
    <w:rsid w:val="00EB73D7"/>
    <w:rsid w:val="00EC5826"/>
    <w:rsid w:val="00EC608F"/>
    <w:rsid w:val="00EC652B"/>
    <w:rsid w:val="00EC76D3"/>
    <w:rsid w:val="00EC7779"/>
    <w:rsid w:val="00ED38CA"/>
    <w:rsid w:val="00ED3DD5"/>
    <w:rsid w:val="00ED3ECB"/>
    <w:rsid w:val="00EE1077"/>
    <w:rsid w:val="00EE1190"/>
    <w:rsid w:val="00EE51AF"/>
    <w:rsid w:val="00EE6ABF"/>
    <w:rsid w:val="00EE7AE4"/>
    <w:rsid w:val="00EF2342"/>
    <w:rsid w:val="00EF2E94"/>
    <w:rsid w:val="00EF47BE"/>
    <w:rsid w:val="00EF4882"/>
    <w:rsid w:val="00F03407"/>
    <w:rsid w:val="00F04DF1"/>
    <w:rsid w:val="00F0567D"/>
    <w:rsid w:val="00F05B18"/>
    <w:rsid w:val="00F07D2F"/>
    <w:rsid w:val="00F104DC"/>
    <w:rsid w:val="00F10727"/>
    <w:rsid w:val="00F13BC4"/>
    <w:rsid w:val="00F13DC4"/>
    <w:rsid w:val="00F168AB"/>
    <w:rsid w:val="00F170DB"/>
    <w:rsid w:val="00F20469"/>
    <w:rsid w:val="00F22AEF"/>
    <w:rsid w:val="00F230FD"/>
    <w:rsid w:val="00F23A81"/>
    <w:rsid w:val="00F244FC"/>
    <w:rsid w:val="00F26DAE"/>
    <w:rsid w:val="00F30223"/>
    <w:rsid w:val="00F306E2"/>
    <w:rsid w:val="00F43B9E"/>
    <w:rsid w:val="00F464FF"/>
    <w:rsid w:val="00F46AB9"/>
    <w:rsid w:val="00F47461"/>
    <w:rsid w:val="00F47EF0"/>
    <w:rsid w:val="00F5228C"/>
    <w:rsid w:val="00F5550C"/>
    <w:rsid w:val="00F5767F"/>
    <w:rsid w:val="00F60154"/>
    <w:rsid w:val="00F625AA"/>
    <w:rsid w:val="00F62749"/>
    <w:rsid w:val="00F643FC"/>
    <w:rsid w:val="00F64C3D"/>
    <w:rsid w:val="00F65395"/>
    <w:rsid w:val="00F6570E"/>
    <w:rsid w:val="00F726C8"/>
    <w:rsid w:val="00F7273D"/>
    <w:rsid w:val="00F7341E"/>
    <w:rsid w:val="00F73BDF"/>
    <w:rsid w:val="00F8217E"/>
    <w:rsid w:val="00F837F9"/>
    <w:rsid w:val="00F84555"/>
    <w:rsid w:val="00F85983"/>
    <w:rsid w:val="00F86F19"/>
    <w:rsid w:val="00F87685"/>
    <w:rsid w:val="00F904DA"/>
    <w:rsid w:val="00F91D40"/>
    <w:rsid w:val="00F9260E"/>
    <w:rsid w:val="00F92A45"/>
    <w:rsid w:val="00F92CE2"/>
    <w:rsid w:val="00F942A5"/>
    <w:rsid w:val="00F96272"/>
    <w:rsid w:val="00FA105B"/>
    <w:rsid w:val="00FA6415"/>
    <w:rsid w:val="00FB0629"/>
    <w:rsid w:val="00FB10B7"/>
    <w:rsid w:val="00FB14D1"/>
    <w:rsid w:val="00FB5A51"/>
    <w:rsid w:val="00FB6263"/>
    <w:rsid w:val="00FB6AE4"/>
    <w:rsid w:val="00FC09B0"/>
    <w:rsid w:val="00FC3216"/>
    <w:rsid w:val="00FC4FA4"/>
    <w:rsid w:val="00FC7C9C"/>
    <w:rsid w:val="00FD1143"/>
    <w:rsid w:val="00FD26BE"/>
    <w:rsid w:val="00FE0066"/>
    <w:rsid w:val="00FE0CA6"/>
    <w:rsid w:val="00FE1948"/>
    <w:rsid w:val="00FE498E"/>
    <w:rsid w:val="00FE5B26"/>
    <w:rsid w:val="00FE5D43"/>
    <w:rsid w:val="00FE6492"/>
    <w:rsid w:val="00FF05CD"/>
    <w:rsid w:val="00FF1896"/>
    <w:rsid w:val="00FF21CE"/>
    <w:rsid w:val="00FF263A"/>
    <w:rsid w:val="00FF3942"/>
    <w:rsid w:val="00FF3DED"/>
    <w:rsid w:val="00FF4103"/>
    <w:rsid w:val="00FF4329"/>
    <w:rsid w:val="00FF4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308A"/>
    <w:pPr>
      <w:tabs>
        <w:tab w:val="center" w:pos="4153"/>
        <w:tab w:val="right" w:pos="8306"/>
      </w:tabs>
    </w:pPr>
  </w:style>
  <w:style w:type="character" w:styleId="PageNumber">
    <w:name w:val="page number"/>
    <w:basedOn w:val="DefaultParagraphFont"/>
    <w:rsid w:val="00A7308A"/>
  </w:style>
  <w:style w:type="paragraph" w:styleId="Header">
    <w:name w:val="header"/>
    <w:basedOn w:val="Normal"/>
    <w:rsid w:val="00A7308A"/>
    <w:pPr>
      <w:tabs>
        <w:tab w:val="center" w:pos="4153"/>
        <w:tab w:val="right" w:pos="8306"/>
      </w:tabs>
    </w:pPr>
  </w:style>
  <w:style w:type="paragraph" w:styleId="BodyTextIndent">
    <w:name w:val="Body Text Indent"/>
    <w:basedOn w:val="Normal"/>
    <w:rsid w:val="00A7308A"/>
    <w:pPr>
      <w:spacing w:before="100" w:beforeAutospacing="1" w:after="100" w:afterAutospacing="1"/>
    </w:pPr>
  </w:style>
  <w:style w:type="paragraph" w:styleId="BlockText">
    <w:name w:val="Block Text"/>
    <w:basedOn w:val="Normal"/>
    <w:rsid w:val="00A7308A"/>
    <w:pPr>
      <w:widowControl w:val="0"/>
      <w:adjustRightInd w:val="0"/>
      <w:spacing w:line="360" w:lineRule="atLeast"/>
      <w:ind w:left="709" w:right="-199" w:hanging="360"/>
      <w:jc w:val="both"/>
      <w:textAlignment w:val="baseline"/>
    </w:pPr>
    <w:rPr>
      <w:rFonts w:ascii="Arial" w:eastAsia="PMingLiU" w:hAnsi="Arial" w:cs="Arial"/>
      <w:snapToGrid w:val="0"/>
      <w:sz w:val="22"/>
      <w:szCs w:val="22"/>
      <w:lang w:eastAsia="ja-JP"/>
    </w:rPr>
  </w:style>
  <w:style w:type="paragraph" w:customStyle="1" w:styleId="BlockText10pt">
    <w:name w:val="Block Text + 10 pt"/>
    <w:aliases w:val="Right:  0 cm,After:  6 pt,Line spacing:  1.5 linest"/>
    <w:basedOn w:val="Normal"/>
    <w:rsid w:val="00A7308A"/>
    <w:pPr>
      <w:numPr>
        <w:numId w:val="4"/>
      </w:numPr>
      <w:spacing w:before="60" w:after="60" w:line="360" w:lineRule="auto"/>
      <w:ind w:left="357" w:hanging="357"/>
      <w:jc w:val="both"/>
    </w:pPr>
    <w:rPr>
      <w:rFonts w:ascii="Arial" w:eastAsia="PMingLiU" w:hAnsi="Arial" w:cs="Arial"/>
      <w:snapToGrid w:val="0"/>
      <w:sz w:val="20"/>
      <w:szCs w:val="22"/>
      <w:lang w:eastAsia="ja-JP"/>
    </w:rPr>
  </w:style>
  <w:style w:type="paragraph" w:styleId="BalloonText">
    <w:name w:val="Balloon Text"/>
    <w:basedOn w:val="Normal"/>
    <w:semiHidden/>
    <w:rsid w:val="005A3645"/>
    <w:rPr>
      <w:rFonts w:ascii="Tahoma" w:hAnsi="Tahoma" w:cs="Tahoma"/>
      <w:sz w:val="16"/>
      <w:szCs w:val="16"/>
    </w:rPr>
  </w:style>
  <w:style w:type="character" w:styleId="Hyperlink">
    <w:name w:val="Hyperlink"/>
    <w:rsid w:val="00F170DB"/>
    <w:rPr>
      <w:color w:val="0000FF"/>
      <w:u w:val="single"/>
    </w:rPr>
  </w:style>
  <w:style w:type="paragraph" w:customStyle="1" w:styleId="Default">
    <w:name w:val="Default"/>
    <w:rsid w:val="00034ACF"/>
    <w:pPr>
      <w:autoSpaceDE w:val="0"/>
      <w:autoSpaceDN w:val="0"/>
      <w:adjustRightInd w:val="0"/>
    </w:pPr>
    <w:rPr>
      <w:rFonts w:ascii="Arial" w:hAnsi="Arial" w:cs="Arial"/>
      <w:color w:val="000000"/>
      <w:sz w:val="24"/>
      <w:szCs w:val="24"/>
    </w:rPr>
  </w:style>
  <w:style w:type="character" w:styleId="CommentReference">
    <w:name w:val="annotation reference"/>
    <w:rsid w:val="008C1978"/>
    <w:rPr>
      <w:sz w:val="16"/>
      <w:szCs w:val="16"/>
    </w:rPr>
  </w:style>
  <w:style w:type="paragraph" w:styleId="CommentText">
    <w:name w:val="annotation text"/>
    <w:basedOn w:val="Normal"/>
    <w:link w:val="CommentTextChar"/>
    <w:rsid w:val="008C1978"/>
    <w:rPr>
      <w:sz w:val="20"/>
      <w:szCs w:val="20"/>
    </w:rPr>
  </w:style>
  <w:style w:type="character" w:customStyle="1" w:styleId="CommentTextChar">
    <w:name w:val="Comment Text Char"/>
    <w:basedOn w:val="DefaultParagraphFont"/>
    <w:link w:val="CommentText"/>
    <w:rsid w:val="008C1978"/>
  </w:style>
  <w:style w:type="paragraph" w:styleId="CommentSubject">
    <w:name w:val="annotation subject"/>
    <w:basedOn w:val="CommentText"/>
    <w:next w:val="CommentText"/>
    <w:link w:val="CommentSubjectChar"/>
    <w:rsid w:val="008C1978"/>
    <w:rPr>
      <w:b/>
      <w:bCs/>
    </w:rPr>
  </w:style>
  <w:style w:type="character" w:customStyle="1" w:styleId="CommentSubjectChar">
    <w:name w:val="Comment Subject Char"/>
    <w:link w:val="CommentSubject"/>
    <w:rsid w:val="008C1978"/>
    <w:rPr>
      <w:b/>
      <w:bCs/>
    </w:rPr>
  </w:style>
  <w:style w:type="paragraph" w:styleId="Revision">
    <w:name w:val="Revision"/>
    <w:hidden/>
    <w:uiPriority w:val="99"/>
    <w:semiHidden/>
    <w:rsid w:val="002D40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308A"/>
    <w:pPr>
      <w:tabs>
        <w:tab w:val="center" w:pos="4153"/>
        <w:tab w:val="right" w:pos="8306"/>
      </w:tabs>
    </w:pPr>
  </w:style>
  <w:style w:type="character" w:styleId="PageNumber">
    <w:name w:val="page number"/>
    <w:basedOn w:val="DefaultParagraphFont"/>
    <w:rsid w:val="00A7308A"/>
  </w:style>
  <w:style w:type="paragraph" w:styleId="Header">
    <w:name w:val="header"/>
    <w:basedOn w:val="Normal"/>
    <w:rsid w:val="00A7308A"/>
    <w:pPr>
      <w:tabs>
        <w:tab w:val="center" w:pos="4153"/>
        <w:tab w:val="right" w:pos="8306"/>
      </w:tabs>
    </w:pPr>
  </w:style>
  <w:style w:type="paragraph" w:styleId="BodyTextIndent">
    <w:name w:val="Body Text Indent"/>
    <w:basedOn w:val="Normal"/>
    <w:rsid w:val="00A7308A"/>
    <w:pPr>
      <w:spacing w:before="100" w:beforeAutospacing="1" w:after="100" w:afterAutospacing="1"/>
    </w:pPr>
  </w:style>
  <w:style w:type="paragraph" w:styleId="BlockText">
    <w:name w:val="Block Text"/>
    <w:basedOn w:val="Normal"/>
    <w:rsid w:val="00A7308A"/>
    <w:pPr>
      <w:widowControl w:val="0"/>
      <w:adjustRightInd w:val="0"/>
      <w:spacing w:line="360" w:lineRule="atLeast"/>
      <w:ind w:left="709" w:right="-199" w:hanging="360"/>
      <w:jc w:val="both"/>
      <w:textAlignment w:val="baseline"/>
    </w:pPr>
    <w:rPr>
      <w:rFonts w:ascii="Arial" w:eastAsia="PMingLiU" w:hAnsi="Arial" w:cs="Arial"/>
      <w:snapToGrid w:val="0"/>
      <w:sz w:val="22"/>
      <w:szCs w:val="22"/>
      <w:lang w:eastAsia="ja-JP"/>
    </w:rPr>
  </w:style>
  <w:style w:type="paragraph" w:customStyle="1" w:styleId="BlockText10pt">
    <w:name w:val="Block Text + 10 pt"/>
    <w:aliases w:val="Right:  0 cm,After:  6 pt,Line spacing:  1.5 linest"/>
    <w:basedOn w:val="Normal"/>
    <w:rsid w:val="00A7308A"/>
    <w:pPr>
      <w:numPr>
        <w:numId w:val="4"/>
      </w:numPr>
      <w:spacing w:before="60" w:after="60" w:line="360" w:lineRule="auto"/>
      <w:ind w:left="357" w:hanging="357"/>
      <w:jc w:val="both"/>
    </w:pPr>
    <w:rPr>
      <w:rFonts w:ascii="Arial" w:eastAsia="PMingLiU" w:hAnsi="Arial" w:cs="Arial"/>
      <w:snapToGrid w:val="0"/>
      <w:sz w:val="20"/>
      <w:szCs w:val="22"/>
      <w:lang w:eastAsia="ja-JP"/>
    </w:rPr>
  </w:style>
  <w:style w:type="paragraph" w:styleId="BalloonText">
    <w:name w:val="Balloon Text"/>
    <w:basedOn w:val="Normal"/>
    <w:semiHidden/>
    <w:rsid w:val="005A3645"/>
    <w:rPr>
      <w:rFonts w:ascii="Tahoma" w:hAnsi="Tahoma" w:cs="Tahoma"/>
      <w:sz w:val="16"/>
      <w:szCs w:val="16"/>
    </w:rPr>
  </w:style>
  <w:style w:type="character" w:styleId="Hyperlink">
    <w:name w:val="Hyperlink"/>
    <w:rsid w:val="00F170DB"/>
    <w:rPr>
      <w:color w:val="0000FF"/>
      <w:u w:val="single"/>
    </w:rPr>
  </w:style>
  <w:style w:type="paragraph" w:customStyle="1" w:styleId="Default">
    <w:name w:val="Default"/>
    <w:rsid w:val="00034ACF"/>
    <w:pPr>
      <w:autoSpaceDE w:val="0"/>
      <w:autoSpaceDN w:val="0"/>
      <w:adjustRightInd w:val="0"/>
    </w:pPr>
    <w:rPr>
      <w:rFonts w:ascii="Arial" w:hAnsi="Arial" w:cs="Arial"/>
      <w:color w:val="000000"/>
      <w:sz w:val="24"/>
      <w:szCs w:val="24"/>
    </w:rPr>
  </w:style>
  <w:style w:type="character" w:styleId="CommentReference">
    <w:name w:val="annotation reference"/>
    <w:rsid w:val="008C1978"/>
    <w:rPr>
      <w:sz w:val="16"/>
      <w:szCs w:val="16"/>
    </w:rPr>
  </w:style>
  <w:style w:type="paragraph" w:styleId="CommentText">
    <w:name w:val="annotation text"/>
    <w:basedOn w:val="Normal"/>
    <w:link w:val="CommentTextChar"/>
    <w:rsid w:val="008C1978"/>
    <w:rPr>
      <w:sz w:val="20"/>
      <w:szCs w:val="20"/>
    </w:rPr>
  </w:style>
  <w:style w:type="character" w:customStyle="1" w:styleId="CommentTextChar">
    <w:name w:val="Comment Text Char"/>
    <w:basedOn w:val="DefaultParagraphFont"/>
    <w:link w:val="CommentText"/>
    <w:rsid w:val="008C1978"/>
  </w:style>
  <w:style w:type="paragraph" w:styleId="CommentSubject">
    <w:name w:val="annotation subject"/>
    <w:basedOn w:val="CommentText"/>
    <w:next w:val="CommentText"/>
    <w:link w:val="CommentSubjectChar"/>
    <w:rsid w:val="008C1978"/>
    <w:rPr>
      <w:b/>
      <w:bCs/>
    </w:rPr>
  </w:style>
  <w:style w:type="character" w:customStyle="1" w:styleId="CommentSubjectChar">
    <w:name w:val="Comment Subject Char"/>
    <w:link w:val="CommentSubject"/>
    <w:rsid w:val="008C1978"/>
    <w:rPr>
      <w:b/>
      <w:bCs/>
    </w:rPr>
  </w:style>
  <w:style w:type="paragraph" w:styleId="Revision">
    <w:name w:val="Revision"/>
    <w:hidden/>
    <w:uiPriority w:val="99"/>
    <w:semiHidden/>
    <w:rsid w:val="002D4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vtsaitas@helpe.g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F6D5-2042-432A-A196-F9103A065A42}">
  <ds:schemaRefs>
    <ds:schemaRef ds:uri="http://schemas.openxmlformats.org/officeDocument/2006/bibliography"/>
  </ds:schemaRefs>
</ds:datastoreItem>
</file>

<file path=customXml/itemProps2.xml><?xml version="1.0" encoding="utf-8"?>
<ds:datastoreItem xmlns:ds="http://schemas.openxmlformats.org/officeDocument/2006/customXml" ds:itemID="{F06C3CD0-669F-4177-BA16-EB1E0D3D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1500</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ΔΕΛΤΙΟ ΤΥΠΟΥ</vt:lpstr>
    </vt:vector>
  </TitlesOfParts>
  <Company>ELPE</Company>
  <LinksUpToDate>false</LinksUpToDate>
  <CharactersWithSpaces>9582</CharactersWithSpaces>
  <SharedDoc>false</SharedDoc>
  <HLinks>
    <vt:vector size="6" baseType="variant">
      <vt:variant>
        <vt:i4>6684766</vt:i4>
      </vt:variant>
      <vt:variant>
        <vt:i4>3</vt:i4>
      </vt:variant>
      <vt:variant>
        <vt:i4>0</vt:i4>
      </vt:variant>
      <vt:variant>
        <vt:i4>5</vt:i4>
      </vt:variant>
      <vt:variant>
        <vt:lpwstr>mailto:vtsaitas@helpe.gr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atzitzika</dc:creator>
  <cp:lastModifiedBy>Dimou Panagiotis</cp:lastModifiedBy>
  <cp:revision>4</cp:revision>
  <cp:lastPrinted>2016-08-25T14:11:00Z</cp:lastPrinted>
  <dcterms:created xsi:type="dcterms:W3CDTF">2016-08-25T14:21:00Z</dcterms:created>
  <dcterms:modified xsi:type="dcterms:W3CDTF">2016-08-25T14:25:00Z</dcterms:modified>
</cp:coreProperties>
</file>