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A1D" w:rsidRPr="009F4CD0" w:rsidRDefault="00425A1D" w:rsidP="009F4CD0">
      <w:pPr>
        <w:pStyle w:val="1"/>
        <w:shd w:val="clear" w:color="auto" w:fill="auto"/>
        <w:spacing w:after="240" w:line="720" w:lineRule="auto"/>
        <w:ind w:right="20" w:firstLine="0"/>
        <w:jc w:val="both"/>
        <w:rPr>
          <w:rFonts w:ascii="Tahoma" w:eastAsiaTheme="minorHAnsi" w:hAnsi="Tahoma" w:cs="Tahoma"/>
          <w:b/>
          <w:spacing w:val="0"/>
          <w:sz w:val="28"/>
          <w:szCs w:val="28"/>
          <w:u w:val="single"/>
        </w:rPr>
      </w:pPr>
      <w:r w:rsidRPr="009F4CD0">
        <w:rPr>
          <w:rFonts w:ascii="Tahoma" w:eastAsiaTheme="minorHAnsi" w:hAnsi="Tahoma" w:cs="Tahoma"/>
          <w:b/>
          <w:spacing w:val="0"/>
          <w:sz w:val="28"/>
          <w:szCs w:val="28"/>
          <w:u w:val="single"/>
        </w:rPr>
        <w:t xml:space="preserve">Εισήγηση του </w:t>
      </w:r>
      <w:proofErr w:type="spellStart"/>
      <w:r w:rsidRPr="009F4CD0">
        <w:rPr>
          <w:rFonts w:ascii="Tahoma" w:eastAsiaTheme="minorHAnsi" w:hAnsi="Tahoma" w:cs="Tahoma"/>
          <w:b/>
          <w:spacing w:val="0"/>
          <w:sz w:val="28"/>
          <w:szCs w:val="28"/>
          <w:u w:val="single"/>
        </w:rPr>
        <w:t>Αντιπεριφερειάρχη</w:t>
      </w:r>
      <w:proofErr w:type="spellEnd"/>
      <w:r w:rsidRPr="009F4CD0">
        <w:rPr>
          <w:rFonts w:ascii="Tahoma" w:eastAsiaTheme="minorHAnsi" w:hAnsi="Tahoma" w:cs="Tahoma"/>
          <w:b/>
          <w:spacing w:val="0"/>
          <w:sz w:val="28"/>
          <w:szCs w:val="28"/>
          <w:u w:val="single"/>
        </w:rPr>
        <w:t xml:space="preserve"> Αργολίδας Τάσσου </w:t>
      </w:r>
      <w:proofErr w:type="spellStart"/>
      <w:r w:rsidRPr="009F4CD0">
        <w:rPr>
          <w:rFonts w:ascii="Tahoma" w:eastAsiaTheme="minorHAnsi" w:hAnsi="Tahoma" w:cs="Tahoma"/>
          <w:b/>
          <w:spacing w:val="0"/>
          <w:sz w:val="28"/>
          <w:szCs w:val="28"/>
          <w:u w:val="single"/>
        </w:rPr>
        <w:t>Χειβιδόπουλου</w:t>
      </w:r>
      <w:proofErr w:type="spellEnd"/>
      <w:r w:rsidRPr="009F4CD0">
        <w:rPr>
          <w:rFonts w:ascii="Tahoma" w:eastAsiaTheme="minorHAnsi" w:hAnsi="Tahoma" w:cs="Tahoma"/>
          <w:b/>
          <w:spacing w:val="0"/>
          <w:sz w:val="28"/>
          <w:szCs w:val="28"/>
          <w:u w:val="single"/>
        </w:rPr>
        <w:t xml:space="preserve"> για το Σύμφωνο</w:t>
      </w:r>
      <w:r w:rsidR="009C1F12" w:rsidRPr="009F4CD0">
        <w:rPr>
          <w:rFonts w:ascii="Tahoma" w:eastAsiaTheme="minorHAnsi" w:hAnsi="Tahoma" w:cs="Tahoma"/>
          <w:b/>
          <w:spacing w:val="0"/>
          <w:sz w:val="28"/>
          <w:szCs w:val="28"/>
          <w:u w:val="single"/>
        </w:rPr>
        <w:t xml:space="preserve"> των Δημάρχων 14/9/2015</w:t>
      </w:r>
    </w:p>
    <w:p w:rsidR="00425A1D" w:rsidRPr="007B0E2B" w:rsidRDefault="00425A1D" w:rsidP="009F4CD0">
      <w:pPr>
        <w:pStyle w:val="1"/>
        <w:shd w:val="clear" w:color="auto" w:fill="auto"/>
        <w:spacing w:after="240" w:line="720" w:lineRule="auto"/>
        <w:ind w:left="20" w:right="20" w:firstLine="0"/>
        <w:jc w:val="both"/>
        <w:rPr>
          <w:rFonts w:ascii="Tahoma" w:eastAsiaTheme="minorHAnsi" w:hAnsi="Tahoma" w:cs="Tahoma"/>
          <w:spacing w:val="0"/>
          <w:sz w:val="22"/>
          <w:szCs w:val="22"/>
        </w:rPr>
      </w:pPr>
      <w:r w:rsidRPr="007B0E2B">
        <w:rPr>
          <w:rFonts w:ascii="Tahoma" w:eastAsiaTheme="minorHAnsi" w:hAnsi="Tahoma" w:cs="Tahoma"/>
          <w:spacing w:val="0"/>
          <w:sz w:val="22"/>
          <w:szCs w:val="22"/>
        </w:rPr>
        <w:t>Η Ευρωπαϊκή Επιτροπή εγκαινίασε το 2008 το Σύμφωνο των Δημάρχων, που απευθύνεται σε πόλεις και δήμους όλων των μεγεθών στην Ευρώπη, με σκοπό τη συμμετοχή των τοπικών αρχών και των πολιτών στην διαμόρφωση και την εφαρμογή της ενεργειακής πολιτικής της Ευρωπαϊκής Ένωσης. Το Σύμφωνο αφορά στην δέσμευση των υπογραφόντων Δήμων να υπερβούν τους στόχους της ΕΕ για μείωση των εκπομπών C02 με μέτρα ενεργειακής απόδοσης, δράσεις που σχετίζονται με τις ανανεώσιμες πηγές ενέργειας και των καθαρών μεταφορών.</w:t>
      </w:r>
    </w:p>
    <w:p w:rsidR="00425A1D" w:rsidRPr="007B0E2B" w:rsidRDefault="00425A1D" w:rsidP="009F4CD0">
      <w:pPr>
        <w:pStyle w:val="1"/>
        <w:shd w:val="clear" w:color="auto" w:fill="auto"/>
        <w:spacing w:after="240" w:line="720" w:lineRule="auto"/>
        <w:ind w:left="20" w:right="20" w:firstLine="0"/>
        <w:jc w:val="both"/>
        <w:rPr>
          <w:rFonts w:ascii="Tahoma" w:eastAsiaTheme="minorHAnsi" w:hAnsi="Tahoma" w:cs="Tahoma"/>
          <w:spacing w:val="0"/>
          <w:sz w:val="22"/>
          <w:szCs w:val="22"/>
        </w:rPr>
      </w:pPr>
      <w:r w:rsidRPr="007B0E2B">
        <w:rPr>
          <w:rFonts w:ascii="Tahoma" w:eastAsiaTheme="minorHAnsi" w:hAnsi="Tahoma" w:cs="Tahoma"/>
          <w:spacing w:val="0"/>
          <w:sz w:val="22"/>
          <w:szCs w:val="22"/>
        </w:rPr>
        <w:t>Η Ευρωπαϊκή Επιτροπή αναγνωρίζει τις οντότητες που ενεργούν ως «Δομές Στήριξης» ως κύριους συμμάχους της στη προβολή και την αύξηση του αντίκτυπου του Συμφώνου. Οι δομές αυτές ορίζονται ως εκείνες οι δημόσιες αρχές που είναι σε θέση να παρέχουν στρατηγική καθοδήγηση και τεχνική υποστήριξη στους δήμους που προτίθενται να υπογράψουν το Σύμφωνο των Δημάρχων, αλλά δεν διαθέτουν την τεχνογνωσία και / ή τους πόρους που απαιτούνται για την προετοιμασία, την έγκριση και την εφαρμογή των Σχεδίων Δράσης Βιώσιμης Ενέργειας.</w:t>
      </w:r>
    </w:p>
    <w:p w:rsidR="00425A1D" w:rsidRPr="007B0E2B" w:rsidRDefault="00425A1D" w:rsidP="009F4CD0">
      <w:pPr>
        <w:pStyle w:val="1"/>
        <w:shd w:val="clear" w:color="auto" w:fill="auto"/>
        <w:spacing w:after="240" w:line="720" w:lineRule="auto"/>
        <w:ind w:left="20" w:right="20" w:firstLine="0"/>
        <w:jc w:val="both"/>
        <w:rPr>
          <w:rFonts w:ascii="Tahoma" w:eastAsiaTheme="minorHAnsi" w:hAnsi="Tahoma" w:cs="Tahoma"/>
          <w:spacing w:val="0"/>
          <w:sz w:val="22"/>
          <w:szCs w:val="22"/>
        </w:rPr>
      </w:pPr>
      <w:r w:rsidRPr="007B0E2B">
        <w:rPr>
          <w:rFonts w:ascii="Tahoma" w:eastAsiaTheme="minorHAnsi" w:hAnsi="Tahoma" w:cs="Tahoma"/>
          <w:spacing w:val="0"/>
          <w:sz w:val="22"/>
          <w:szCs w:val="22"/>
        </w:rPr>
        <w:lastRenderedPageBreak/>
        <w:t xml:space="preserve">Ένας από τους κύριους στόχους της Περιφέρειας Πελοποννήσου είναι η συνεργασία με τους δήμους στη διαμόρφωση πολιτικών και προγραμμάτων διαχείρισης τους.  </w:t>
      </w:r>
    </w:p>
    <w:p w:rsidR="00425A1D" w:rsidRPr="007B0E2B" w:rsidRDefault="00425A1D" w:rsidP="009F4CD0">
      <w:pPr>
        <w:pStyle w:val="1"/>
        <w:shd w:val="clear" w:color="auto" w:fill="auto"/>
        <w:spacing w:after="240" w:line="720" w:lineRule="auto"/>
        <w:ind w:left="20" w:right="20" w:firstLine="0"/>
        <w:jc w:val="both"/>
        <w:rPr>
          <w:rFonts w:ascii="Tahoma" w:eastAsiaTheme="minorHAnsi" w:hAnsi="Tahoma" w:cs="Tahoma"/>
          <w:spacing w:val="0"/>
          <w:sz w:val="22"/>
          <w:szCs w:val="22"/>
        </w:rPr>
      </w:pPr>
      <w:r w:rsidRPr="007B0E2B">
        <w:rPr>
          <w:rFonts w:ascii="Tahoma" w:eastAsiaTheme="minorHAnsi" w:hAnsi="Tahoma" w:cs="Tahoma"/>
          <w:spacing w:val="0"/>
          <w:sz w:val="22"/>
          <w:szCs w:val="22"/>
        </w:rPr>
        <w:t>Η Περιφέρεια Πελοποννήσου είναι θετικά προσκείμενη στο Σύμφωνο των Δημάρχων και των δυνητικών αποτελεσμάτων του, από την ίδρυση της πρωτοβουλίας και αυτός είναι ο λόγος που αποφάσισε να ενισχύσει την προώθηση του Συμφώνου των Δημάρχων μεταξύ των δήμων της Περιφέρειας, αλλά και να υποστηρίξει τους δήμους που αποφασίζουν να προσχωρήσουν στο Σύμφωνο. Για να επιτευχθεί αυτό, η Περιφέρεια Πελοποννήσου είναι πρόθυμη να ξεκινήσει ένα ειδικό πρόγραμμα υποστήριξης των τοπικών αρχών για να δημιουργήσει τις συνθήκες προσχώρησης  των Δήμων στο Σύμφωνο των Δημάρχων, συμπεριλαμβανομένων, μεταξύ άλλων, τη προετοιμασία των Σχεδίων Δράσης Αειφόρου Ενέργειας σε δημοτικό επίπεδο.</w:t>
      </w:r>
    </w:p>
    <w:p w:rsidR="00425A1D" w:rsidRPr="007B0E2B" w:rsidRDefault="00425A1D" w:rsidP="009F4CD0">
      <w:pPr>
        <w:pStyle w:val="1"/>
        <w:shd w:val="clear" w:color="auto" w:fill="auto"/>
        <w:spacing w:after="240" w:line="720" w:lineRule="auto"/>
        <w:ind w:left="20" w:right="20" w:firstLine="0"/>
        <w:jc w:val="both"/>
        <w:rPr>
          <w:rFonts w:ascii="Tahoma" w:eastAsiaTheme="minorHAnsi" w:hAnsi="Tahoma" w:cs="Tahoma"/>
          <w:spacing w:val="0"/>
          <w:sz w:val="22"/>
          <w:szCs w:val="22"/>
        </w:rPr>
      </w:pPr>
      <w:r w:rsidRPr="007B0E2B">
        <w:rPr>
          <w:rFonts w:ascii="Tahoma" w:eastAsiaTheme="minorHAnsi" w:hAnsi="Tahoma" w:cs="Tahoma"/>
          <w:spacing w:val="0"/>
          <w:sz w:val="22"/>
          <w:szCs w:val="22"/>
        </w:rPr>
        <w:t>Η Περιφέρεια Πελοποννήσου δεσμεύεται να πραγματοποιήσει τις ακόλουθες δράσεις, στην επικράτεια της αρμοδιότητάς της:</w:t>
      </w:r>
    </w:p>
    <w:p w:rsidR="00425A1D" w:rsidRPr="007B0E2B" w:rsidRDefault="00425A1D" w:rsidP="009F4CD0">
      <w:pPr>
        <w:pStyle w:val="1"/>
        <w:numPr>
          <w:ilvl w:val="0"/>
          <w:numId w:val="1"/>
        </w:numPr>
        <w:shd w:val="clear" w:color="auto" w:fill="auto"/>
        <w:spacing w:after="240" w:line="720" w:lineRule="auto"/>
        <w:ind w:right="20"/>
        <w:jc w:val="both"/>
        <w:rPr>
          <w:rFonts w:ascii="Tahoma" w:eastAsiaTheme="minorHAnsi" w:hAnsi="Tahoma" w:cs="Tahoma"/>
          <w:spacing w:val="0"/>
          <w:sz w:val="22"/>
          <w:szCs w:val="22"/>
        </w:rPr>
      </w:pPr>
      <w:r w:rsidRPr="007B0E2B">
        <w:rPr>
          <w:rFonts w:ascii="Tahoma" w:eastAsiaTheme="minorHAnsi" w:hAnsi="Tahoma" w:cs="Tahoma"/>
          <w:spacing w:val="0"/>
          <w:sz w:val="22"/>
          <w:szCs w:val="22"/>
        </w:rPr>
        <w:t>Προώθηση του Συμφώνου των Δημάρχων στους Δήμους της Περιφέρειας και παροχή υποστήριξης και συντονισμού στη διαδικασία της προσχώρησης</w:t>
      </w:r>
    </w:p>
    <w:p w:rsidR="00425A1D" w:rsidRPr="007B0E2B" w:rsidRDefault="00425A1D" w:rsidP="009F4CD0">
      <w:pPr>
        <w:pStyle w:val="1"/>
        <w:numPr>
          <w:ilvl w:val="0"/>
          <w:numId w:val="1"/>
        </w:numPr>
        <w:shd w:val="clear" w:color="auto" w:fill="auto"/>
        <w:spacing w:after="240" w:line="720" w:lineRule="auto"/>
        <w:ind w:right="20"/>
        <w:jc w:val="both"/>
        <w:rPr>
          <w:rFonts w:ascii="Tahoma" w:eastAsiaTheme="minorHAnsi" w:hAnsi="Tahoma" w:cs="Tahoma"/>
          <w:spacing w:val="0"/>
          <w:sz w:val="22"/>
          <w:szCs w:val="22"/>
        </w:rPr>
      </w:pPr>
      <w:r w:rsidRPr="007B0E2B">
        <w:rPr>
          <w:rFonts w:ascii="Tahoma" w:eastAsiaTheme="minorHAnsi" w:hAnsi="Tahoma" w:cs="Tahoma"/>
          <w:spacing w:val="0"/>
          <w:sz w:val="22"/>
          <w:szCs w:val="22"/>
        </w:rPr>
        <w:t xml:space="preserve">Παροχή χρηματοδοτικής υποστήριξης στους υπογράφοντες Δήμους είτε υπό </w:t>
      </w:r>
      <w:r w:rsidRPr="007B0E2B">
        <w:rPr>
          <w:rFonts w:ascii="Tahoma" w:eastAsiaTheme="minorHAnsi" w:hAnsi="Tahoma" w:cs="Tahoma"/>
          <w:spacing w:val="0"/>
          <w:sz w:val="22"/>
          <w:szCs w:val="22"/>
        </w:rPr>
        <w:lastRenderedPageBreak/>
        <w:t>τη μορφή άμεσης χρηματοδοτικής στήριξης {επιχορηγήσεις, επιδοτήσεις, κλπ) ή μέσω διάθεσης προσωπικού επιστημονικής και τεχνικής υποστήριξης για την προετοιμασία αλλά και την υλοποίηση των Σχεδίων Δράσης Βιώσιμης Ενέργεια.</w:t>
      </w:r>
    </w:p>
    <w:p w:rsidR="00425A1D" w:rsidRPr="007B0E2B" w:rsidRDefault="00425A1D" w:rsidP="009F4CD0">
      <w:pPr>
        <w:pStyle w:val="1"/>
        <w:numPr>
          <w:ilvl w:val="0"/>
          <w:numId w:val="1"/>
        </w:numPr>
        <w:shd w:val="clear" w:color="auto" w:fill="auto"/>
        <w:spacing w:after="240" w:line="720" w:lineRule="auto"/>
        <w:ind w:right="20"/>
        <w:jc w:val="both"/>
        <w:rPr>
          <w:rFonts w:ascii="Tahoma" w:eastAsiaTheme="minorHAnsi" w:hAnsi="Tahoma" w:cs="Tahoma"/>
          <w:spacing w:val="0"/>
          <w:sz w:val="22"/>
          <w:szCs w:val="22"/>
        </w:rPr>
      </w:pPr>
      <w:r w:rsidRPr="007B0E2B">
        <w:rPr>
          <w:rFonts w:ascii="Tahoma" w:eastAsiaTheme="minorHAnsi" w:hAnsi="Tahoma" w:cs="Tahoma"/>
          <w:spacing w:val="0"/>
          <w:sz w:val="22"/>
          <w:szCs w:val="22"/>
        </w:rPr>
        <w:t>Καθορισμός πλαισίου και μεθοδολογίας αναφορών αξιολόγησης, παρακολούθησης και ελέγχου, για την υποστήριξη της υλοποίησης των Σχεδίων Δράσης.</w:t>
      </w:r>
    </w:p>
    <w:p w:rsidR="00425A1D" w:rsidRPr="007B0E2B" w:rsidRDefault="00425A1D" w:rsidP="009F4CD0">
      <w:pPr>
        <w:pStyle w:val="1"/>
        <w:numPr>
          <w:ilvl w:val="0"/>
          <w:numId w:val="1"/>
        </w:numPr>
        <w:shd w:val="clear" w:color="auto" w:fill="auto"/>
        <w:spacing w:after="240" w:line="720" w:lineRule="auto"/>
        <w:ind w:right="20"/>
        <w:jc w:val="both"/>
        <w:rPr>
          <w:rFonts w:ascii="Tahoma" w:eastAsiaTheme="minorHAnsi" w:hAnsi="Tahoma" w:cs="Tahoma"/>
          <w:spacing w:val="0"/>
          <w:sz w:val="22"/>
          <w:szCs w:val="22"/>
        </w:rPr>
      </w:pPr>
      <w:r w:rsidRPr="007B0E2B">
        <w:rPr>
          <w:rFonts w:ascii="Tahoma" w:eastAsiaTheme="minorHAnsi" w:hAnsi="Tahoma" w:cs="Tahoma"/>
          <w:spacing w:val="0"/>
          <w:sz w:val="22"/>
          <w:szCs w:val="22"/>
        </w:rPr>
        <w:t>Παροχή τεχνικής υποστήριξης στην οργάνωση δημόσιων εκδηλώσεων (Ημέρες Ενέργειας) που θα πραγματοποιούνται στο πλαίσιο της ευαισθητοποίησης των πολιτών και άλλων ομάδων στόχευσης για τους στόχους του Συμφώνου των Δημάρχων.</w:t>
      </w:r>
    </w:p>
    <w:p w:rsidR="00425A1D" w:rsidRPr="007B0E2B" w:rsidRDefault="00425A1D" w:rsidP="009F4CD0">
      <w:pPr>
        <w:pStyle w:val="1"/>
        <w:numPr>
          <w:ilvl w:val="0"/>
          <w:numId w:val="1"/>
        </w:numPr>
        <w:shd w:val="clear" w:color="auto" w:fill="auto"/>
        <w:spacing w:after="240" w:line="720" w:lineRule="auto"/>
        <w:ind w:right="20"/>
        <w:jc w:val="both"/>
        <w:rPr>
          <w:rFonts w:ascii="Tahoma" w:eastAsiaTheme="minorHAnsi" w:hAnsi="Tahoma" w:cs="Tahoma"/>
          <w:spacing w:val="0"/>
          <w:sz w:val="22"/>
          <w:szCs w:val="22"/>
        </w:rPr>
      </w:pPr>
      <w:r w:rsidRPr="007B0E2B">
        <w:rPr>
          <w:rFonts w:ascii="Tahoma" w:eastAsiaTheme="minorHAnsi" w:hAnsi="Tahoma" w:cs="Tahoma"/>
          <w:spacing w:val="0"/>
          <w:sz w:val="22"/>
          <w:szCs w:val="22"/>
        </w:rPr>
        <w:t>Υποβολ</w:t>
      </w:r>
      <w:r w:rsidR="006701C8">
        <w:rPr>
          <w:rFonts w:ascii="Tahoma" w:eastAsiaTheme="minorHAnsi" w:hAnsi="Tahoma" w:cs="Tahoma"/>
          <w:spacing w:val="0"/>
          <w:sz w:val="22"/>
          <w:szCs w:val="22"/>
        </w:rPr>
        <w:t>ή τακτικών εκθέσεων στην Ευρωπαϊκή Επ</w:t>
      </w:r>
      <w:r w:rsidR="001714C9">
        <w:rPr>
          <w:rFonts w:ascii="Tahoma" w:eastAsiaTheme="minorHAnsi" w:hAnsi="Tahoma" w:cs="Tahoma"/>
          <w:spacing w:val="0"/>
          <w:sz w:val="22"/>
          <w:szCs w:val="22"/>
        </w:rPr>
        <w:t>ι</w:t>
      </w:r>
      <w:r w:rsidR="006701C8">
        <w:rPr>
          <w:rFonts w:ascii="Tahoma" w:eastAsiaTheme="minorHAnsi" w:hAnsi="Tahoma" w:cs="Tahoma"/>
          <w:spacing w:val="0"/>
          <w:sz w:val="22"/>
          <w:szCs w:val="22"/>
        </w:rPr>
        <w:t>τροπή</w:t>
      </w:r>
      <w:r w:rsidRPr="007B0E2B">
        <w:rPr>
          <w:rFonts w:ascii="Tahoma" w:eastAsiaTheme="minorHAnsi" w:hAnsi="Tahoma" w:cs="Tahoma"/>
          <w:spacing w:val="0"/>
          <w:sz w:val="22"/>
          <w:szCs w:val="22"/>
        </w:rPr>
        <w:t>, σχετικά με τα αποτελέσματα που επιτεύχθηκαν στην Περιφέρεια Πελοποννήσου, και συμμετοχή σε συζητήσεις σχετικά με τη στρατηγική εφαρμογή του Συμφώνου που προτείνει η Επιτροπή.</w:t>
      </w:r>
    </w:p>
    <w:p w:rsidR="004376F3" w:rsidRDefault="004376F3" w:rsidP="009F4CD0">
      <w:pPr>
        <w:spacing w:line="720" w:lineRule="auto"/>
      </w:pPr>
    </w:p>
    <w:sectPr w:rsidR="004376F3" w:rsidSect="004376F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7F6059"/>
    <w:multiLevelType w:val="hybridMultilevel"/>
    <w:tmpl w:val="00C6E53A"/>
    <w:lvl w:ilvl="0" w:tplc="04080001">
      <w:start w:val="1"/>
      <w:numFmt w:val="bullet"/>
      <w:lvlText w:val=""/>
      <w:lvlJc w:val="left"/>
      <w:pPr>
        <w:ind w:left="74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5A1D"/>
    <w:rsid w:val="001714C9"/>
    <w:rsid w:val="004035C6"/>
    <w:rsid w:val="00425A1D"/>
    <w:rsid w:val="004376F3"/>
    <w:rsid w:val="006701C8"/>
    <w:rsid w:val="009C1F12"/>
    <w:rsid w:val="009F4CD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6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425A1D"/>
    <w:rPr>
      <w:rFonts w:ascii="Calibri" w:eastAsia="Calibri" w:hAnsi="Calibri" w:cs="Calibri"/>
      <w:spacing w:val="-10"/>
      <w:sz w:val="23"/>
      <w:szCs w:val="23"/>
      <w:shd w:val="clear" w:color="auto" w:fill="FFFFFF"/>
    </w:rPr>
  </w:style>
  <w:style w:type="paragraph" w:customStyle="1" w:styleId="1">
    <w:name w:val="Σώμα κειμένου1"/>
    <w:basedOn w:val="a"/>
    <w:link w:val="a3"/>
    <w:rsid w:val="00425A1D"/>
    <w:pPr>
      <w:widowControl w:val="0"/>
      <w:shd w:val="clear" w:color="auto" w:fill="FFFFFF"/>
      <w:spacing w:after="0" w:line="0" w:lineRule="atLeast"/>
      <w:ind w:hanging="380"/>
    </w:pPr>
    <w:rPr>
      <w:rFonts w:ascii="Calibri" w:eastAsia="Calibri" w:hAnsi="Calibri" w:cs="Calibri"/>
      <w:spacing w:val="-10"/>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480</Words>
  <Characters>2597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2015-09-11T08:32:00Z</cp:lastPrinted>
  <dcterms:created xsi:type="dcterms:W3CDTF">2015-09-11T08:14:00Z</dcterms:created>
  <dcterms:modified xsi:type="dcterms:W3CDTF">2015-09-11T08:35:00Z</dcterms:modified>
</cp:coreProperties>
</file>